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2.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5.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6.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3560E" w14:textId="6DFE2876" w:rsidR="00F12BE1" w:rsidRPr="00A74402" w:rsidRDefault="00BC4E31" w:rsidP="00B7053F">
      <w:pPr>
        <w:pStyle w:val="Textoindependiente"/>
        <w:widowControl/>
        <w:spacing w:line="240" w:lineRule="auto"/>
        <w:contextualSpacing/>
        <w:rPr>
          <w:rFonts w:ascii="Times New Roman" w:hAnsi="Times New Roman"/>
          <w:snapToGrid/>
          <w:sz w:val="24"/>
          <w:lang w:val="es-CL"/>
        </w:rPr>
      </w:pPr>
      <w:bookmarkStart w:id="0" w:name="_GoBack"/>
      <w:bookmarkEnd w:id="0"/>
      <w:r w:rsidRPr="00A74402">
        <w:rPr>
          <w:rFonts w:ascii="Times New Roman" w:hAnsi="Times New Roman"/>
          <w:snapToGrid/>
          <w:sz w:val="24"/>
          <w:lang w:val="es-CL"/>
        </w:rPr>
        <w:t>0</w:t>
      </w:r>
      <w:r w:rsidR="0040145A" w:rsidRPr="00A74402">
        <w:rPr>
          <w:rFonts w:ascii="Times New Roman" w:hAnsi="Times New Roman"/>
          <w:snapToGrid/>
          <w:sz w:val="24"/>
          <w:lang w:val="es-CL"/>
        </w:rPr>
        <w:t>3</w:t>
      </w:r>
      <w:r w:rsidR="006F12B8" w:rsidRPr="00A74402">
        <w:rPr>
          <w:rFonts w:ascii="Times New Roman" w:hAnsi="Times New Roman"/>
          <w:snapToGrid/>
          <w:sz w:val="24"/>
          <w:lang w:val="es-CL"/>
        </w:rPr>
        <w:t>/</w:t>
      </w:r>
      <w:r w:rsidR="00A94239" w:rsidRPr="00A74402">
        <w:rPr>
          <w:rFonts w:ascii="Times New Roman" w:hAnsi="Times New Roman"/>
          <w:snapToGrid/>
          <w:sz w:val="24"/>
          <w:lang w:val="es-CL"/>
        </w:rPr>
        <w:t>04/</w:t>
      </w:r>
      <w:r w:rsidR="006F12B8" w:rsidRPr="00A74402">
        <w:rPr>
          <w:rFonts w:ascii="Times New Roman" w:hAnsi="Times New Roman"/>
          <w:snapToGrid/>
          <w:sz w:val="24"/>
          <w:lang w:val="es-CL"/>
        </w:rPr>
        <w:t>1</w:t>
      </w:r>
      <w:r w:rsidRPr="00A74402">
        <w:rPr>
          <w:rFonts w:ascii="Times New Roman" w:hAnsi="Times New Roman"/>
          <w:snapToGrid/>
          <w:sz w:val="24"/>
          <w:lang w:val="es-CL"/>
        </w:rPr>
        <w:t>9</w:t>
      </w:r>
      <w:r w:rsidR="005F40FE" w:rsidRPr="00A74402">
        <w:rPr>
          <w:rFonts w:ascii="Times New Roman" w:hAnsi="Times New Roman"/>
          <w:snapToGrid/>
          <w:sz w:val="24"/>
          <w:lang w:val="es-CL"/>
        </w:rPr>
        <w:t>(</w:t>
      </w:r>
      <w:r w:rsidR="00EA19DD" w:rsidRPr="00A74402">
        <w:rPr>
          <w:rFonts w:ascii="Times New Roman" w:hAnsi="Times New Roman"/>
          <w:snapToGrid/>
          <w:sz w:val="24"/>
          <w:lang w:val="es-CL"/>
        </w:rPr>
        <w:t>1</w:t>
      </w:r>
      <w:r w:rsidR="00BE5B79">
        <w:rPr>
          <w:rFonts w:ascii="Times New Roman" w:hAnsi="Times New Roman"/>
          <w:snapToGrid/>
          <w:sz w:val="24"/>
          <w:lang w:val="es-CL"/>
        </w:rPr>
        <w:t>1.928</w:t>
      </w:r>
      <w:r w:rsidR="00EA19DD" w:rsidRPr="00A74402">
        <w:rPr>
          <w:rFonts w:ascii="Times New Roman" w:hAnsi="Times New Roman"/>
          <w:snapToGrid/>
          <w:sz w:val="24"/>
          <w:lang w:val="es-CL"/>
        </w:rPr>
        <w:t>p</w:t>
      </w:r>
      <w:r w:rsidR="006D2308" w:rsidRPr="00A74402">
        <w:rPr>
          <w:rFonts w:ascii="Times New Roman" w:hAnsi="Times New Roman"/>
          <w:snapToGrid/>
          <w:sz w:val="24"/>
          <w:lang w:val="es-CL"/>
        </w:rPr>
        <w:t>)</w:t>
      </w:r>
      <w:r w:rsidR="00F12BE1" w:rsidRPr="00A74402">
        <w:rPr>
          <w:rFonts w:ascii="Times New Roman" w:hAnsi="Times New Roman"/>
          <w:snapToGrid/>
          <w:sz w:val="24"/>
          <w:lang w:val="es-CL"/>
        </w:rPr>
        <w:tab/>
      </w:r>
      <w:r w:rsidR="00F12BE1" w:rsidRPr="00A74402">
        <w:rPr>
          <w:rFonts w:ascii="Times New Roman" w:hAnsi="Times New Roman"/>
          <w:snapToGrid/>
          <w:sz w:val="24"/>
          <w:lang w:val="es-CL"/>
        </w:rPr>
        <w:tab/>
      </w:r>
      <w:r w:rsidR="00F12BE1" w:rsidRPr="00A74402">
        <w:rPr>
          <w:rFonts w:ascii="Times New Roman" w:hAnsi="Times New Roman"/>
          <w:snapToGrid/>
          <w:sz w:val="24"/>
          <w:lang w:val="es-CL"/>
        </w:rPr>
        <w:tab/>
      </w:r>
      <w:r w:rsidR="00F12BE1" w:rsidRPr="00A74402">
        <w:rPr>
          <w:rFonts w:ascii="Times New Roman" w:hAnsi="Times New Roman"/>
          <w:snapToGrid/>
          <w:sz w:val="24"/>
          <w:lang w:val="es-CL"/>
        </w:rPr>
        <w:tab/>
      </w:r>
      <w:r w:rsidR="00F12BE1" w:rsidRPr="00A74402">
        <w:rPr>
          <w:rFonts w:ascii="Times New Roman" w:hAnsi="Times New Roman"/>
          <w:snapToGrid/>
          <w:sz w:val="24"/>
          <w:lang w:val="es-CL"/>
        </w:rPr>
        <w:tab/>
      </w:r>
      <w:r w:rsidR="00F12BE1" w:rsidRPr="00A74402">
        <w:rPr>
          <w:rFonts w:ascii="Times New Roman" w:hAnsi="Times New Roman"/>
          <w:snapToGrid/>
          <w:sz w:val="24"/>
          <w:lang w:val="es-CL"/>
        </w:rPr>
        <w:tab/>
      </w:r>
    </w:p>
    <w:p w14:paraId="080CCF3E" w14:textId="77777777" w:rsidR="00DD75AB" w:rsidRPr="00A74402" w:rsidRDefault="00DD75AB" w:rsidP="00B92E37">
      <w:pPr>
        <w:pStyle w:val="Textoindependiente"/>
        <w:widowControl/>
        <w:spacing w:line="240" w:lineRule="auto"/>
        <w:jc w:val="center"/>
        <w:rPr>
          <w:rFonts w:ascii="Times New Roman" w:hAnsi="Times New Roman"/>
          <w:snapToGrid/>
          <w:sz w:val="24"/>
          <w:lang w:val="es-CL"/>
        </w:rPr>
      </w:pPr>
    </w:p>
    <w:p w14:paraId="48692815" w14:textId="25D1D44D" w:rsidR="00B92E37" w:rsidRPr="00A74402" w:rsidRDefault="00B92E37" w:rsidP="00B92E37">
      <w:pPr>
        <w:pStyle w:val="Textoindependiente"/>
        <w:widowControl/>
        <w:spacing w:line="240" w:lineRule="auto"/>
        <w:jc w:val="center"/>
        <w:rPr>
          <w:rFonts w:ascii="Times New Roman" w:hAnsi="Times New Roman"/>
          <w:b/>
          <w:snapToGrid/>
          <w:sz w:val="24"/>
          <w:lang w:val="es-CL"/>
        </w:rPr>
      </w:pPr>
      <w:r w:rsidRPr="00A74402">
        <w:rPr>
          <w:rFonts w:ascii="Times New Roman" w:hAnsi="Times New Roman"/>
          <w:b/>
          <w:snapToGrid/>
          <w:sz w:val="24"/>
          <w:lang w:val="es-CL"/>
        </w:rPr>
        <w:t xml:space="preserve">LA INVERSIÓN PRODUCTIVA EN EL DESARROLLO ECONÓMICO DE CHILE: </w:t>
      </w:r>
      <w:r w:rsidR="00B3717E" w:rsidRPr="00A74402">
        <w:rPr>
          <w:rFonts w:ascii="Times New Roman" w:hAnsi="Times New Roman"/>
          <w:b/>
          <w:snapToGrid/>
          <w:sz w:val="24"/>
          <w:lang w:val="es-CL"/>
        </w:rPr>
        <w:t>SU EVOLUCIÓN</w:t>
      </w:r>
      <w:r w:rsidRPr="00A74402">
        <w:rPr>
          <w:rFonts w:ascii="Times New Roman" w:hAnsi="Times New Roman"/>
          <w:b/>
          <w:snapToGrid/>
          <w:sz w:val="24"/>
          <w:lang w:val="es-CL"/>
        </w:rPr>
        <w:t xml:space="preserve"> Y DESAFÍOS</w:t>
      </w:r>
      <w:r w:rsidR="00AE0A17" w:rsidRPr="00A74402">
        <w:rPr>
          <w:rStyle w:val="Refdenotaalpie"/>
          <w:rFonts w:ascii="Times New Roman" w:hAnsi="Times New Roman"/>
          <w:b/>
          <w:snapToGrid/>
          <w:sz w:val="32"/>
          <w:lang w:val="es-CL"/>
        </w:rPr>
        <w:footnoteReference w:customMarkFollows="1" w:id="1"/>
        <w:t>*</w:t>
      </w:r>
    </w:p>
    <w:p w14:paraId="6E77271B" w14:textId="77777777" w:rsidR="00DD75AB" w:rsidRPr="00A74402" w:rsidRDefault="007D0634" w:rsidP="00B92E37">
      <w:pPr>
        <w:pStyle w:val="Textoindependiente"/>
        <w:widowControl/>
        <w:spacing w:line="240" w:lineRule="auto"/>
        <w:jc w:val="center"/>
        <w:rPr>
          <w:rFonts w:ascii="Times New Roman" w:hAnsi="Times New Roman"/>
          <w:snapToGrid/>
          <w:sz w:val="24"/>
          <w:lang w:val="es-CL"/>
        </w:rPr>
      </w:pPr>
      <w:r w:rsidRPr="00A74402">
        <w:rPr>
          <w:rFonts w:ascii="Times New Roman" w:hAnsi="Times New Roman"/>
          <w:snapToGrid/>
          <w:sz w:val="24"/>
          <w:lang w:val="es-CL"/>
        </w:rPr>
        <w:tab/>
      </w:r>
      <w:r w:rsidRPr="00A74402">
        <w:rPr>
          <w:rFonts w:ascii="Times New Roman" w:hAnsi="Times New Roman"/>
          <w:snapToGrid/>
          <w:sz w:val="24"/>
          <w:lang w:val="es-CL"/>
        </w:rPr>
        <w:tab/>
      </w:r>
      <w:r w:rsidRPr="00A74402">
        <w:rPr>
          <w:rFonts w:ascii="Times New Roman" w:hAnsi="Times New Roman"/>
          <w:snapToGrid/>
          <w:sz w:val="24"/>
          <w:lang w:val="es-CL"/>
        </w:rPr>
        <w:tab/>
      </w:r>
      <w:r w:rsidRPr="00A74402">
        <w:rPr>
          <w:rFonts w:ascii="Times New Roman" w:hAnsi="Times New Roman"/>
          <w:snapToGrid/>
          <w:sz w:val="24"/>
          <w:lang w:val="es-CL"/>
        </w:rPr>
        <w:tab/>
      </w:r>
      <w:r w:rsidRPr="00A74402">
        <w:rPr>
          <w:rFonts w:ascii="Times New Roman" w:hAnsi="Times New Roman"/>
          <w:snapToGrid/>
          <w:sz w:val="24"/>
          <w:lang w:val="es-CL"/>
        </w:rPr>
        <w:tab/>
      </w:r>
      <w:r w:rsidRPr="00A74402">
        <w:rPr>
          <w:rFonts w:ascii="Times New Roman" w:hAnsi="Times New Roman"/>
          <w:snapToGrid/>
          <w:sz w:val="24"/>
          <w:lang w:val="es-CL"/>
        </w:rPr>
        <w:tab/>
      </w:r>
      <w:r w:rsidRPr="00A74402">
        <w:rPr>
          <w:rFonts w:ascii="Times New Roman" w:hAnsi="Times New Roman"/>
          <w:snapToGrid/>
          <w:sz w:val="24"/>
          <w:lang w:val="es-CL"/>
        </w:rPr>
        <w:tab/>
      </w:r>
    </w:p>
    <w:p w14:paraId="05339509" w14:textId="0FA4128B" w:rsidR="00B92E37" w:rsidRPr="00A74402" w:rsidRDefault="007D0634" w:rsidP="00DD75AB">
      <w:pPr>
        <w:pStyle w:val="Textoindependiente"/>
        <w:widowControl/>
        <w:spacing w:line="240" w:lineRule="auto"/>
        <w:jc w:val="right"/>
        <w:rPr>
          <w:rFonts w:ascii="Times New Roman" w:hAnsi="Times New Roman"/>
          <w:snapToGrid/>
          <w:sz w:val="32"/>
          <w:lang w:val="es-CL"/>
        </w:rPr>
      </w:pPr>
      <w:r w:rsidRPr="00A74402">
        <w:rPr>
          <w:rFonts w:ascii="Times New Roman" w:hAnsi="Times New Roman"/>
          <w:snapToGrid/>
          <w:sz w:val="24"/>
          <w:lang w:val="es-CL"/>
        </w:rPr>
        <w:t>Ricardo Ffrench-Davis</w:t>
      </w:r>
      <w:r w:rsidR="00E97C8C" w:rsidRPr="00A74402">
        <w:rPr>
          <w:rFonts w:ascii="Times New Roman" w:hAnsi="Times New Roman"/>
          <w:snapToGrid/>
          <w:sz w:val="24"/>
          <w:lang w:val="es-CL"/>
        </w:rPr>
        <w:t xml:space="preserve"> y Álvaro Díaz</w:t>
      </w:r>
      <w:r w:rsidR="0040145A" w:rsidRPr="00A74402">
        <w:rPr>
          <w:rStyle w:val="Refdenotaalpie"/>
          <w:rFonts w:ascii="Times New Roman" w:hAnsi="Times New Roman"/>
          <w:snapToGrid/>
          <w:sz w:val="32"/>
          <w:lang w:val="es-CL"/>
        </w:rPr>
        <w:footnoteReference w:customMarkFollows="1" w:id="2"/>
        <w:t>**</w:t>
      </w:r>
    </w:p>
    <w:p w14:paraId="7DD3736E" w14:textId="77777777" w:rsidR="00234E8F" w:rsidRPr="00A74402" w:rsidRDefault="00234E8F" w:rsidP="00FA561A">
      <w:pPr>
        <w:pStyle w:val="Textoindependiente"/>
        <w:widowControl/>
        <w:spacing w:line="240" w:lineRule="auto"/>
        <w:rPr>
          <w:rFonts w:ascii="Times New Roman" w:hAnsi="Times New Roman"/>
          <w:snapToGrid/>
          <w:sz w:val="24"/>
          <w:lang w:val="es-CL"/>
        </w:rPr>
      </w:pPr>
    </w:p>
    <w:p w14:paraId="53FE201D" w14:textId="77777777" w:rsidR="008A66C5" w:rsidRPr="00A74402" w:rsidRDefault="008A66C5" w:rsidP="008A66C5">
      <w:pPr>
        <w:rPr>
          <w:rFonts w:ascii="Times New Roman" w:hAnsi="Times New Roman" w:cs="Times New Roman"/>
          <w:b/>
        </w:rPr>
      </w:pPr>
      <w:r w:rsidRPr="00A74402">
        <w:rPr>
          <w:rFonts w:ascii="Times New Roman" w:hAnsi="Times New Roman" w:cs="Times New Roman"/>
          <w:b/>
        </w:rPr>
        <w:t>RESUMEN</w:t>
      </w:r>
    </w:p>
    <w:p w14:paraId="6EF5F2A5" w14:textId="46A0D57A" w:rsidR="008A66C5" w:rsidRPr="00A74402" w:rsidRDefault="008A66C5" w:rsidP="008A66C5">
      <w:pPr>
        <w:spacing w:line="240" w:lineRule="auto"/>
        <w:rPr>
          <w:rFonts w:ascii="Times New Roman" w:hAnsi="Times New Roman" w:cs="Times New Roman"/>
          <w:sz w:val="24"/>
          <w:szCs w:val="24"/>
        </w:rPr>
      </w:pPr>
      <w:r w:rsidRPr="00A74402">
        <w:rPr>
          <w:rFonts w:ascii="Times New Roman" w:hAnsi="Times New Roman" w:cs="Times New Roman"/>
          <w:sz w:val="24"/>
          <w:szCs w:val="24"/>
        </w:rPr>
        <w:t xml:space="preserve">Se examina la evolución de la inversión en Chile y su vinculación con  el crecimiento económico desde el golpe de 1973. Se documenta cómo </w:t>
      </w:r>
      <w:r w:rsidR="007F698C" w:rsidRPr="00A74402">
        <w:rPr>
          <w:rFonts w:ascii="Times New Roman" w:hAnsi="Times New Roman" w:cs="Times New Roman"/>
          <w:sz w:val="24"/>
          <w:szCs w:val="24"/>
        </w:rPr>
        <w:t xml:space="preserve">la formación de capital </w:t>
      </w:r>
      <w:r w:rsidRPr="00A74402">
        <w:rPr>
          <w:rFonts w:ascii="Times New Roman" w:hAnsi="Times New Roman" w:cs="Times New Roman"/>
          <w:sz w:val="24"/>
          <w:szCs w:val="24"/>
        </w:rPr>
        <w:t>continúa siendo un determinante principal. Aun así, la innovación facilita la resolución de obstáculos que generan los rendimientos decrecientes, especialmente en los recursos naturales</w:t>
      </w:r>
      <w:r w:rsidR="00E46F32" w:rsidRPr="00A74402">
        <w:rPr>
          <w:rFonts w:ascii="Times New Roman" w:hAnsi="Times New Roman" w:cs="Times New Roman"/>
          <w:sz w:val="24"/>
          <w:szCs w:val="24"/>
        </w:rPr>
        <w:t>, mientras que</w:t>
      </w:r>
      <w:r w:rsidRPr="00A74402">
        <w:rPr>
          <w:rFonts w:ascii="Times New Roman" w:hAnsi="Times New Roman" w:cs="Times New Roman"/>
          <w:sz w:val="24"/>
          <w:szCs w:val="24"/>
        </w:rPr>
        <w:t xml:space="preserve"> la </w:t>
      </w:r>
      <w:r w:rsidR="007F698C" w:rsidRPr="00A74402">
        <w:rPr>
          <w:rFonts w:ascii="Times New Roman" w:hAnsi="Times New Roman" w:cs="Times New Roman"/>
          <w:sz w:val="24"/>
          <w:szCs w:val="24"/>
        </w:rPr>
        <w:t>inversión</w:t>
      </w:r>
      <w:r w:rsidRPr="00A74402">
        <w:rPr>
          <w:rFonts w:ascii="Times New Roman" w:hAnsi="Times New Roman" w:cs="Times New Roman"/>
          <w:sz w:val="24"/>
          <w:szCs w:val="24"/>
        </w:rPr>
        <w:t xml:space="preserve"> intensiva en tecnología</w:t>
      </w:r>
      <w:r w:rsidR="00E46F32" w:rsidRPr="00A74402">
        <w:rPr>
          <w:rFonts w:ascii="Times New Roman" w:hAnsi="Times New Roman" w:cs="Times New Roman"/>
          <w:sz w:val="24"/>
          <w:szCs w:val="24"/>
        </w:rPr>
        <w:t>,</w:t>
      </w:r>
      <w:r w:rsidRPr="00A74402">
        <w:rPr>
          <w:rFonts w:ascii="Times New Roman" w:hAnsi="Times New Roman" w:cs="Times New Roman"/>
          <w:sz w:val="24"/>
          <w:szCs w:val="24"/>
        </w:rPr>
        <w:t xml:space="preserve"> como la infraestructura de banda ancha, contribuye a diversificar la matriz productiva. Se documenta cómo la persistente expansión de la inversión en 1990-98 </w:t>
      </w:r>
      <w:r w:rsidR="00F04F36" w:rsidRPr="00A74402">
        <w:rPr>
          <w:rFonts w:ascii="Times New Roman" w:hAnsi="Times New Roman" w:cs="Times New Roman"/>
          <w:sz w:val="24"/>
          <w:szCs w:val="24"/>
        </w:rPr>
        <w:t>contribuy</w:t>
      </w:r>
      <w:r w:rsidRPr="00A74402">
        <w:rPr>
          <w:rFonts w:ascii="Times New Roman" w:hAnsi="Times New Roman" w:cs="Times New Roman"/>
          <w:sz w:val="24"/>
          <w:szCs w:val="24"/>
        </w:rPr>
        <w:t>ó</w:t>
      </w:r>
      <w:r w:rsidR="00F04F36" w:rsidRPr="00A74402">
        <w:rPr>
          <w:rFonts w:ascii="Times New Roman" w:hAnsi="Times New Roman" w:cs="Times New Roman"/>
          <w:sz w:val="24"/>
          <w:szCs w:val="24"/>
        </w:rPr>
        <w:t xml:space="preserve"> al</w:t>
      </w:r>
      <w:r w:rsidRPr="00A74402">
        <w:rPr>
          <w:rFonts w:ascii="Times New Roman" w:hAnsi="Times New Roman" w:cs="Times New Roman"/>
          <w:sz w:val="24"/>
          <w:szCs w:val="24"/>
        </w:rPr>
        <w:t xml:space="preserve"> crecimiento </w:t>
      </w:r>
      <w:r w:rsidR="00F04F36" w:rsidRPr="00A74402">
        <w:rPr>
          <w:rFonts w:ascii="Times New Roman" w:hAnsi="Times New Roman" w:cs="Times New Roman"/>
          <w:sz w:val="24"/>
          <w:szCs w:val="24"/>
        </w:rPr>
        <w:t xml:space="preserve">del PIB </w:t>
      </w:r>
      <w:r w:rsidR="00A94239" w:rsidRPr="00A74402">
        <w:rPr>
          <w:rFonts w:ascii="Times New Roman" w:hAnsi="Times New Roman" w:cs="Times New Roman"/>
          <w:sz w:val="24"/>
          <w:szCs w:val="24"/>
        </w:rPr>
        <w:t xml:space="preserve">sobre </w:t>
      </w:r>
      <w:r w:rsidRPr="00A74402">
        <w:rPr>
          <w:rFonts w:ascii="Times New Roman" w:hAnsi="Times New Roman" w:cs="Times New Roman"/>
          <w:sz w:val="24"/>
          <w:szCs w:val="24"/>
        </w:rPr>
        <w:t xml:space="preserve">7% anual. Sin embargo, desde 1999 </w:t>
      </w:r>
      <w:r w:rsidR="00F04F36" w:rsidRPr="00A74402">
        <w:rPr>
          <w:rFonts w:ascii="Times New Roman" w:hAnsi="Times New Roman" w:cs="Times New Roman"/>
          <w:sz w:val="24"/>
          <w:szCs w:val="24"/>
        </w:rPr>
        <w:t>la</w:t>
      </w:r>
      <w:r w:rsidRPr="00A74402">
        <w:rPr>
          <w:rFonts w:ascii="Times New Roman" w:hAnsi="Times New Roman" w:cs="Times New Roman"/>
          <w:sz w:val="24"/>
          <w:szCs w:val="24"/>
        </w:rPr>
        <w:t xml:space="preserve"> inversión experimentó altibajos </w:t>
      </w:r>
      <w:r w:rsidR="00680737" w:rsidRPr="00A74402">
        <w:rPr>
          <w:rFonts w:ascii="Times New Roman" w:hAnsi="Times New Roman" w:cs="Times New Roman"/>
          <w:sz w:val="24"/>
          <w:szCs w:val="24"/>
        </w:rPr>
        <w:t xml:space="preserve">y el </w:t>
      </w:r>
      <w:r w:rsidRPr="00A74402">
        <w:rPr>
          <w:rFonts w:ascii="Times New Roman" w:hAnsi="Times New Roman" w:cs="Times New Roman"/>
          <w:sz w:val="24"/>
          <w:szCs w:val="24"/>
        </w:rPr>
        <w:t xml:space="preserve"> crecimiento promedio</w:t>
      </w:r>
      <w:r w:rsidR="00680737" w:rsidRPr="00A74402">
        <w:rPr>
          <w:rFonts w:ascii="Times New Roman" w:hAnsi="Times New Roman" w:cs="Times New Roman"/>
          <w:sz w:val="24"/>
          <w:szCs w:val="24"/>
        </w:rPr>
        <w:t xml:space="preserve"> </w:t>
      </w:r>
      <w:r w:rsidR="00F04444" w:rsidRPr="00A74402">
        <w:rPr>
          <w:rFonts w:ascii="Times New Roman" w:hAnsi="Times New Roman" w:cs="Times New Roman"/>
          <w:sz w:val="24"/>
          <w:szCs w:val="24"/>
        </w:rPr>
        <w:t>disminuyó</w:t>
      </w:r>
      <w:r w:rsidR="00680737" w:rsidRPr="00A74402">
        <w:rPr>
          <w:rFonts w:ascii="Times New Roman" w:hAnsi="Times New Roman" w:cs="Times New Roman"/>
          <w:sz w:val="24"/>
          <w:szCs w:val="24"/>
        </w:rPr>
        <w:t xml:space="preserve"> a menos de</w:t>
      </w:r>
      <w:r w:rsidRPr="00A74402">
        <w:rPr>
          <w:rFonts w:ascii="Times New Roman" w:hAnsi="Times New Roman" w:cs="Times New Roman"/>
          <w:sz w:val="24"/>
          <w:szCs w:val="24"/>
        </w:rPr>
        <w:t xml:space="preserve"> 4%. Se examinan variables como el entorno macroeconómico y su inestabilidad real desde 1999, la inversión en infraestructura y la decreciente calidad de los recursos naturales</w:t>
      </w:r>
      <w:r w:rsidR="003B607A" w:rsidRPr="00A74402">
        <w:rPr>
          <w:rFonts w:ascii="Times New Roman" w:hAnsi="Times New Roman" w:cs="Times New Roman"/>
          <w:sz w:val="24"/>
          <w:szCs w:val="24"/>
        </w:rPr>
        <w:t>, p</w:t>
      </w:r>
      <w:r w:rsidRPr="00A74402">
        <w:rPr>
          <w:rFonts w:ascii="Times New Roman" w:hAnsi="Times New Roman" w:cs="Times New Roman"/>
          <w:sz w:val="24"/>
          <w:szCs w:val="24"/>
        </w:rPr>
        <w:t>lante</w:t>
      </w:r>
      <w:r w:rsidR="003B607A" w:rsidRPr="00A74402">
        <w:rPr>
          <w:rFonts w:ascii="Times New Roman" w:hAnsi="Times New Roman" w:cs="Times New Roman"/>
          <w:sz w:val="24"/>
          <w:szCs w:val="24"/>
        </w:rPr>
        <w:t>ándose</w:t>
      </w:r>
      <w:r w:rsidRPr="00A74402">
        <w:rPr>
          <w:rFonts w:ascii="Times New Roman" w:hAnsi="Times New Roman" w:cs="Times New Roman"/>
          <w:sz w:val="24"/>
          <w:szCs w:val="24"/>
        </w:rPr>
        <w:t xml:space="preserve"> desafíos para  impulsar la inversión e innovación, diversificar la matriz  productiva y sus agentes, y avanzar en un crecimiento incluyente.</w:t>
      </w:r>
    </w:p>
    <w:p w14:paraId="6C6AA830" w14:textId="77777777" w:rsidR="008A66C5" w:rsidRPr="00A74402" w:rsidRDefault="008A66C5" w:rsidP="008A66C5">
      <w:pPr>
        <w:rPr>
          <w:rFonts w:ascii="Times New Roman" w:hAnsi="Times New Roman" w:cs="Times New Roman"/>
          <w:sz w:val="24"/>
          <w:szCs w:val="24"/>
        </w:rPr>
      </w:pPr>
    </w:p>
    <w:p w14:paraId="52C32A34" w14:textId="064C6DBD" w:rsidR="008A66C5" w:rsidRPr="00A74402" w:rsidRDefault="008A66C5" w:rsidP="00D20B77">
      <w:pPr>
        <w:spacing w:line="240" w:lineRule="auto"/>
        <w:rPr>
          <w:rFonts w:ascii="Times New Roman" w:hAnsi="Times New Roman" w:cs="Times New Roman"/>
          <w:sz w:val="24"/>
          <w:szCs w:val="24"/>
        </w:rPr>
      </w:pPr>
      <w:r w:rsidRPr="00A74402">
        <w:rPr>
          <w:rFonts w:ascii="Times New Roman" w:hAnsi="Times New Roman" w:cs="Times New Roman"/>
          <w:sz w:val="24"/>
          <w:szCs w:val="24"/>
        </w:rPr>
        <w:t>Inversión, productividad, entorno macroeconómico, recursos naturales, desarrollo</w:t>
      </w:r>
      <w:r w:rsidR="009162D0" w:rsidRPr="00A74402">
        <w:rPr>
          <w:rFonts w:ascii="Times New Roman" w:hAnsi="Times New Roman" w:cs="Times New Roman"/>
          <w:sz w:val="24"/>
          <w:szCs w:val="24"/>
        </w:rPr>
        <w:t xml:space="preserve"> </w:t>
      </w:r>
      <w:r w:rsidRPr="00A74402">
        <w:rPr>
          <w:rFonts w:ascii="Times New Roman" w:hAnsi="Times New Roman" w:cs="Times New Roman"/>
          <w:sz w:val="24"/>
          <w:szCs w:val="24"/>
        </w:rPr>
        <w:t xml:space="preserve"> económico, Chile</w:t>
      </w:r>
    </w:p>
    <w:p w14:paraId="2436F4F8" w14:textId="77777777" w:rsidR="008A66C5" w:rsidRPr="00A74402" w:rsidRDefault="008A66C5" w:rsidP="008A66C5">
      <w:pPr>
        <w:rPr>
          <w:rFonts w:ascii="Times New Roman" w:hAnsi="Times New Roman" w:cs="Times New Roman"/>
          <w:sz w:val="24"/>
          <w:szCs w:val="24"/>
        </w:rPr>
      </w:pPr>
      <w:r w:rsidRPr="00A74402">
        <w:rPr>
          <w:rFonts w:ascii="Times New Roman" w:hAnsi="Times New Roman" w:cs="Times New Roman"/>
          <w:sz w:val="24"/>
          <w:szCs w:val="24"/>
        </w:rPr>
        <w:t>JEL   E22, F32, O11, O13</w:t>
      </w:r>
    </w:p>
    <w:p w14:paraId="0860E70B" w14:textId="77777777" w:rsidR="0040070D" w:rsidRPr="00A74402" w:rsidRDefault="0040070D" w:rsidP="0040070D">
      <w:pPr>
        <w:pStyle w:val="Textoindependiente"/>
        <w:widowControl/>
        <w:tabs>
          <w:tab w:val="left" w:pos="2295"/>
        </w:tabs>
        <w:spacing w:line="240" w:lineRule="auto"/>
        <w:jc w:val="left"/>
        <w:rPr>
          <w:rFonts w:ascii="Times New Roman" w:hAnsi="Times New Roman"/>
          <w:snapToGrid/>
          <w:sz w:val="24"/>
          <w:lang w:val="es-CL"/>
        </w:rPr>
      </w:pPr>
      <w:r w:rsidRPr="00A74402">
        <w:rPr>
          <w:rFonts w:ascii="Times New Roman" w:hAnsi="Times New Roman"/>
          <w:snapToGrid/>
          <w:sz w:val="24"/>
          <w:lang w:val="es-CL"/>
        </w:rPr>
        <w:tab/>
      </w:r>
    </w:p>
    <w:p w14:paraId="088C526A" w14:textId="0D922E4F" w:rsidR="0040070D" w:rsidRPr="00A74402" w:rsidRDefault="0040070D" w:rsidP="0040070D">
      <w:pPr>
        <w:pStyle w:val="Textoindependiente"/>
        <w:widowControl/>
        <w:contextualSpacing/>
        <w:rPr>
          <w:rFonts w:ascii="Times New Roman" w:hAnsi="Times New Roman"/>
          <w:snapToGrid/>
          <w:sz w:val="24"/>
          <w:lang w:val="es-CL"/>
        </w:rPr>
      </w:pPr>
      <w:r w:rsidRPr="00A74402">
        <w:rPr>
          <w:rFonts w:ascii="Times New Roman" w:hAnsi="Times New Roman"/>
          <w:snapToGrid/>
          <w:sz w:val="24"/>
          <w:lang w:val="es-CL"/>
        </w:rPr>
        <w:t>Gran parte de los estudios sobre crecimiento económico en Chile tienen como referencia el modelo neoclásico de Solow-Swan (1956</w:t>
      </w:r>
      <w:r w:rsidR="00515EB2" w:rsidRPr="00A74402">
        <w:rPr>
          <w:rFonts w:ascii="Times New Roman" w:hAnsi="Times New Roman"/>
          <w:snapToGrid/>
          <w:sz w:val="24"/>
          <w:lang w:val="es-CL"/>
        </w:rPr>
        <w:t>; CNP, 2017a</w:t>
      </w:r>
      <w:r w:rsidRPr="00A74402">
        <w:rPr>
          <w:rFonts w:ascii="Times New Roman" w:hAnsi="Times New Roman"/>
          <w:snapToGrid/>
          <w:sz w:val="24"/>
          <w:lang w:val="es-CL"/>
        </w:rPr>
        <w:t>) que subdivide los factores de crecimiento en trabajo, capital y el residuo que es equivalente a la productividad total de factores (PTF) y que sería resultante del cambio tecnológico</w:t>
      </w:r>
      <w:r w:rsidR="00176896" w:rsidRPr="00A74402">
        <w:rPr>
          <w:rFonts w:ascii="Times New Roman" w:hAnsi="Times New Roman"/>
          <w:snapToGrid/>
          <w:sz w:val="24"/>
          <w:lang w:val="es-CL"/>
        </w:rPr>
        <w:t xml:space="preserve"> y la reasignación de recursos</w:t>
      </w:r>
      <w:r w:rsidRPr="00A74402">
        <w:rPr>
          <w:rFonts w:ascii="Times New Roman" w:hAnsi="Times New Roman"/>
          <w:snapToGrid/>
          <w:sz w:val="24"/>
          <w:lang w:val="es-CL"/>
        </w:rPr>
        <w:t>.</w:t>
      </w:r>
      <w:r w:rsidRPr="00A74402">
        <w:rPr>
          <w:rStyle w:val="Refdenotaalpie"/>
          <w:rFonts w:ascii="Times New Roman" w:hAnsi="Times New Roman"/>
          <w:sz w:val="24"/>
        </w:rPr>
        <w:footnoteReference w:id="3"/>
      </w:r>
      <w:r w:rsidRPr="00A74402">
        <w:rPr>
          <w:rFonts w:ascii="Times New Roman" w:hAnsi="Times New Roman"/>
          <w:snapToGrid/>
          <w:sz w:val="24"/>
          <w:lang w:val="es-CL"/>
        </w:rPr>
        <w:t xml:space="preserve"> Esta manera de contabilizar los factores del crecimiento es utilizada por numerosos analistas para estudiar la importancia de la productividad en el crecimiento. </w:t>
      </w:r>
    </w:p>
    <w:p w14:paraId="0A424F94" w14:textId="77777777" w:rsidR="0040070D" w:rsidRPr="00A74402" w:rsidRDefault="0040070D" w:rsidP="0040070D">
      <w:pPr>
        <w:pStyle w:val="Textoindependiente"/>
        <w:widowControl/>
        <w:contextualSpacing/>
        <w:rPr>
          <w:rFonts w:ascii="Times New Roman" w:hAnsi="Times New Roman"/>
          <w:snapToGrid/>
          <w:sz w:val="24"/>
          <w:lang w:val="es-CL"/>
        </w:rPr>
      </w:pPr>
    </w:p>
    <w:p w14:paraId="2CF3948B" w14:textId="0F150665" w:rsidR="0040070D" w:rsidRPr="00A74402" w:rsidRDefault="0040070D" w:rsidP="0040070D">
      <w:pPr>
        <w:pStyle w:val="Textoindependiente"/>
        <w:widowControl/>
        <w:contextualSpacing/>
        <w:rPr>
          <w:rFonts w:ascii="Times New Roman" w:hAnsi="Times New Roman"/>
          <w:snapToGrid/>
          <w:sz w:val="24"/>
          <w:lang w:val="es-CL"/>
        </w:rPr>
      </w:pPr>
      <w:r w:rsidRPr="00A74402">
        <w:rPr>
          <w:rFonts w:ascii="Times New Roman" w:hAnsi="Times New Roman"/>
          <w:snapToGrid/>
          <w:sz w:val="24"/>
          <w:lang w:val="es-CL"/>
        </w:rPr>
        <w:lastRenderedPageBreak/>
        <w:tab/>
        <w:t>En esta línea de razonamiento, e</w:t>
      </w:r>
      <w:r w:rsidRPr="00A74402">
        <w:rPr>
          <w:rFonts w:ascii="Times New Roman" w:hAnsi="Times New Roman"/>
          <w:sz w:val="24"/>
        </w:rPr>
        <w:t>s frecuente encontrar afirmaciones de que la PTF es el elemento determinante del crecimiento, por sobre la inversión. Sin embargo, esta afirmación está basada en metodologías tradicionales que subestiman el aporte del capital y sobrestiman el aporte de la PTF. El proyecto LA-KLEMS coordinado por CEPAL utiliza metodologías más avanzadas y evidencia que para el período 1981-2010 la contribución del capital es m</w:t>
      </w:r>
      <w:r w:rsidR="001D3052" w:rsidRPr="00A74402">
        <w:rPr>
          <w:rFonts w:ascii="Times New Roman" w:hAnsi="Times New Roman"/>
          <w:sz w:val="24"/>
        </w:rPr>
        <w:t>ayor que el aporte</w:t>
      </w:r>
      <w:r w:rsidRPr="00A74402">
        <w:rPr>
          <w:rFonts w:ascii="Times New Roman" w:hAnsi="Times New Roman"/>
          <w:sz w:val="24"/>
        </w:rPr>
        <w:t xml:space="preserve"> de la PTF al crecimiento. Además, su medición tradicional recoge preponderantemente las fluctuaciones en la tasa de uso de la capacidad existente con lo que resulta una estimación de la PTF pro-cíclica. Esto es, si se logra un mayor uso de la capacidad productiva ociosa, </w:t>
      </w:r>
      <w:r w:rsidR="0089520D" w:rsidRPr="00A74402">
        <w:rPr>
          <w:rFonts w:ascii="Times New Roman" w:hAnsi="Times New Roman"/>
          <w:sz w:val="24"/>
        </w:rPr>
        <w:t>el PIB efectivo</w:t>
      </w:r>
      <w:r w:rsidRPr="00A74402">
        <w:rPr>
          <w:rFonts w:ascii="Times New Roman" w:hAnsi="Times New Roman"/>
          <w:sz w:val="24"/>
        </w:rPr>
        <w:t xml:space="preserve"> puede crecer sin invertir, pero sólo mientras no se agote la subutilización de la capacidad instalada.</w:t>
      </w:r>
    </w:p>
    <w:p w14:paraId="7EE15F1D" w14:textId="71BBB6FB" w:rsidR="0040070D" w:rsidRPr="00A74402" w:rsidRDefault="0040070D" w:rsidP="0040070D">
      <w:pPr>
        <w:pStyle w:val="Textonotapie"/>
        <w:spacing w:line="360" w:lineRule="auto"/>
        <w:rPr>
          <w:sz w:val="24"/>
          <w:lang w:val="es-CL"/>
        </w:rPr>
      </w:pPr>
      <w:r w:rsidRPr="00A74402">
        <w:rPr>
          <w:sz w:val="24"/>
          <w:lang w:val="es-CL"/>
        </w:rPr>
        <w:tab/>
        <w:t>Más aún, las estimaciones tradicionales sobre la PTF no recogen adecuadamente las fluctuaciones de la riqueza relativa de RRNN que puede estar afectada por las leyes de los minerales o el estado de los sistemas ecológicos. Por ejemplo, cambios en las leyes del cobre pueden tener significativas incidencias en la productividad minera, Así ocurre también con el deterioro o recuperación de sistemas ecológicos</w:t>
      </w:r>
      <w:r w:rsidR="00253D4D" w:rsidRPr="00A74402">
        <w:rPr>
          <w:sz w:val="24"/>
          <w:lang w:val="es-CL"/>
        </w:rPr>
        <w:t xml:space="preserve"> y las externalidades y el impacto sobre la evolución del PIB </w:t>
      </w:r>
      <w:r w:rsidR="00D938C5" w:rsidRPr="00A74402">
        <w:rPr>
          <w:sz w:val="24"/>
          <w:lang w:val="es-CL"/>
        </w:rPr>
        <w:t>(ver Sotelsek y Laborda, 2010)</w:t>
      </w:r>
      <w:r w:rsidRPr="00A74402">
        <w:rPr>
          <w:sz w:val="24"/>
          <w:lang w:val="es-CL"/>
        </w:rPr>
        <w:t>. Por ello, desde hace varios años el B</w:t>
      </w:r>
      <w:r w:rsidR="008A66C5" w:rsidRPr="00A74402">
        <w:rPr>
          <w:sz w:val="24"/>
          <w:lang w:val="es-CL"/>
        </w:rPr>
        <w:t>anco Central</w:t>
      </w:r>
      <w:r w:rsidRPr="00A74402">
        <w:rPr>
          <w:sz w:val="24"/>
          <w:lang w:val="es-CL"/>
        </w:rPr>
        <w:t xml:space="preserve"> hace estimaciones desagregando la minería o los recursos naturales</w:t>
      </w:r>
      <w:r w:rsidR="008A66C5" w:rsidRPr="00A74402">
        <w:rPr>
          <w:sz w:val="24"/>
          <w:lang w:val="es-CL"/>
        </w:rPr>
        <w:t>;</w:t>
      </w:r>
      <w:r w:rsidRPr="00A74402">
        <w:rPr>
          <w:sz w:val="24"/>
          <w:szCs w:val="24"/>
          <w:lang w:val="es-CL"/>
        </w:rPr>
        <w:t xml:space="preserve"> sin duda, una desagregación de gran utilidad para entender la coyuntura macroeconómica. </w:t>
      </w:r>
      <w:r w:rsidRPr="00A74402">
        <w:rPr>
          <w:sz w:val="24"/>
          <w:lang w:val="es-CL"/>
        </w:rPr>
        <w:t>En resumen, los RRNN y el ciclo económico generan grandes variaciones de la PTF que pueden tener un origen no tecnológico (Calvo, Izquierdo y Talvi, 2006).</w:t>
      </w:r>
      <w:r w:rsidRPr="00A74402">
        <w:rPr>
          <w:rStyle w:val="Refdenotaalpie"/>
          <w:sz w:val="24"/>
        </w:rPr>
        <w:footnoteReference w:id="4"/>
      </w:r>
    </w:p>
    <w:p w14:paraId="6518A4CA" w14:textId="4967A103"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Lo cierto es que las estimaciones neoclásicas tradicional y moderna de las contribuciones factoriales al crecimiento reconocen el papel decisivo que juega la formación bruta de capital fijo (FBKF, equipo, maquinaria, edificios e infraestructura) para el desarrollo. En este sentido, un reciente esfuerzo reciente de medir la productividad de largo plazo para cinco países de América Latina (Argentina, Brasil, Chile, Colombia y México) muestra que mientras mejor sea la medición de los insumos directamente cuantificables menos relevante se hace la PTF en los cinco países (Coremberg</w:t>
      </w:r>
      <w:r w:rsidR="00813FD3" w:rsidRPr="00A74402">
        <w:rPr>
          <w:rFonts w:ascii="Times New Roman" w:hAnsi="Times New Roman" w:cs="Times New Roman"/>
          <w:sz w:val="24"/>
        </w:rPr>
        <w:t xml:space="preserve"> y Pérez</w:t>
      </w:r>
      <w:r w:rsidRPr="00A74402">
        <w:rPr>
          <w:rFonts w:ascii="Times New Roman" w:hAnsi="Times New Roman" w:cs="Times New Roman"/>
          <w:sz w:val="24"/>
        </w:rPr>
        <w:t xml:space="preserve">, 2010).  Según este </w:t>
      </w:r>
      <w:r w:rsidRPr="00A74402">
        <w:rPr>
          <w:rFonts w:ascii="Times New Roman" w:hAnsi="Times New Roman" w:cs="Times New Roman"/>
          <w:sz w:val="24"/>
        </w:rPr>
        <w:lastRenderedPageBreak/>
        <w:t>trabajo, lo que explicaría el crecimiento de las economías de la región durante el período 1990-20</w:t>
      </w:r>
      <w:r w:rsidR="00561AD0" w:rsidRPr="00A74402">
        <w:rPr>
          <w:rFonts w:ascii="Times New Roman" w:hAnsi="Times New Roman" w:cs="Times New Roman"/>
          <w:sz w:val="24"/>
        </w:rPr>
        <w:t>06</w:t>
      </w:r>
      <w:r w:rsidRPr="00A74402">
        <w:rPr>
          <w:rFonts w:ascii="Times New Roman" w:hAnsi="Times New Roman" w:cs="Times New Roman"/>
          <w:sz w:val="24"/>
        </w:rPr>
        <w:t xml:space="preserve"> sería principalmente la FBKF.</w:t>
      </w:r>
    </w:p>
    <w:p w14:paraId="5097E2EB" w14:textId="04BFF60C"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Además de sus efectos directos sobre el crecimiento, la FBKF tiene un impacto macroeconómico en el corto plazo sobre el nivel de actividad económica, al ser parte de la demanda interna</w:t>
      </w:r>
      <w:r w:rsidR="008A66C5" w:rsidRPr="00A74402">
        <w:rPr>
          <w:rFonts w:ascii="Times New Roman" w:hAnsi="Times New Roman" w:cs="Times New Roman"/>
          <w:sz w:val="24"/>
        </w:rPr>
        <w:t>,</w:t>
      </w:r>
      <w:r w:rsidRPr="00A74402">
        <w:rPr>
          <w:rFonts w:ascii="Times New Roman" w:hAnsi="Times New Roman" w:cs="Times New Roman"/>
          <w:sz w:val="24"/>
        </w:rPr>
        <w:t xml:space="preserve"> lo que explica la importancia de las políticas anti cíclicas centradas en la inversión. </w:t>
      </w:r>
    </w:p>
    <w:p w14:paraId="2553C67B" w14:textId="29E971AE"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La evidencia indica que el volumen o stock de capital es determinante del crecimiento económico, como lo comprueba la fuerte intensidad de capital por miembro de la fuerza de trabajo de los países avanzados de la</w:t>
      </w:r>
      <w:r w:rsidR="007263AB" w:rsidRPr="00A74402">
        <w:rPr>
          <w:rFonts w:ascii="Times New Roman" w:hAnsi="Times New Roman" w:cs="Times New Roman"/>
          <w:sz w:val="24"/>
        </w:rPr>
        <w:t xml:space="preserve"> OCDE</w:t>
      </w:r>
      <w:r w:rsidRPr="00A74402">
        <w:rPr>
          <w:rFonts w:ascii="Times New Roman" w:hAnsi="Times New Roman" w:cs="Times New Roman"/>
          <w:sz w:val="24"/>
        </w:rPr>
        <w:t xml:space="preserve"> en comparación a América Latina. En efecto, el gráfico 1, basado en PENN World Table (versión 9.0) estima que la media del PIB per cápita para la década 2005-2014 (a PPC US$2011) de países seleccionados de la OCDE es 2,7 veces la media de los países latinoamericanos y está estrechamente asociada a la brecha de stock de capital por trabajador que es 2,8 veces. </w:t>
      </w:r>
    </w:p>
    <w:p w14:paraId="792BA67E" w14:textId="77777777"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[GRÁFICO 1]</w:t>
      </w:r>
    </w:p>
    <w:p w14:paraId="644046C3" w14:textId="0853F6BE"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r>
      <w:r w:rsidR="00A74402" w:rsidRPr="00A74402">
        <w:rPr>
          <w:rFonts w:ascii="Times New Roman" w:hAnsi="Times New Roman" w:cs="Times New Roman"/>
          <w:sz w:val="24"/>
        </w:rPr>
        <w:t>Aunque la FBKF es decisiva para el crecimiento, la innovación facilita la resolución de obstáculos que generan una productividad decreciente. Al mismo tiempo, contribuye con nuevos productos y nuevos procesos que abren nuevos espacios para la diversificación de la matriz productiva. En definitiva, la innovación gatilla la inversión, pero ello no siempre se refleja bien en la contabilidad del crecimiento, porque si bien se puede lograr bases estadísticas robustas y detalladas para capital y trabajo, es mucho más difícil medir el conocimiento y la innovación.</w:t>
      </w:r>
    </w:p>
    <w:p w14:paraId="1C8841A7" w14:textId="29C6095D"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r>
      <w:r w:rsidR="00966040" w:rsidRPr="00A74402">
        <w:rPr>
          <w:rFonts w:ascii="Times New Roman" w:hAnsi="Times New Roman" w:cs="Times New Roman"/>
          <w:sz w:val="24"/>
        </w:rPr>
        <w:t>S</w:t>
      </w:r>
      <w:r w:rsidRPr="00A74402">
        <w:rPr>
          <w:rFonts w:ascii="Times New Roman" w:hAnsi="Times New Roman" w:cs="Times New Roman"/>
          <w:sz w:val="24"/>
        </w:rPr>
        <w:t>iendo tan determinante para el crecimiento del PIB</w:t>
      </w:r>
      <w:r w:rsidR="00966040" w:rsidRPr="00A74402">
        <w:rPr>
          <w:rFonts w:ascii="Times New Roman" w:hAnsi="Times New Roman" w:cs="Times New Roman"/>
          <w:sz w:val="24"/>
        </w:rPr>
        <w:t xml:space="preserve">, </w:t>
      </w:r>
      <w:r w:rsidRPr="00A74402">
        <w:rPr>
          <w:rFonts w:ascii="Times New Roman" w:hAnsi="Times New Roman" w:cs="Times New Roman"/>
          <w:sz w:val="24"/>
        </w:rPr>
        <w:t xml:space="preserve">la tasa de inversión en Chile ha experimentado fuertes variaciones en los decenios recientes, tanto en cuanto al nivel del conjunto como en su composición. Las variaciones en la evolución de la tasa de inversión bruta responden a diversos factores. Desde una perspectiva macroeconómica, sobresalen los altibajos asociados a los desequilibrios entre el PIB efectivo y el potencial (brecha del producto o brecha recesiva, BR). Para controlar por esos desequilibrios, hemos examinado la evolución de la inversión y el PIB en sub-períodos comprendidos entre años en los que esa brecha es menor. En el período cubierto por este artículo (1974-2017) los años identificados como de menor brecha o años </w:t>
      </w:r>
      <w:r w:rsidRPr="00A74402">
        <w:rPr>
          <w:rFonts w:ascii="Times New Roman" w:hAnsi="Times New Roman" w:cs="Times New Roman"/>
          <w:i/>
          <w:sz w:val="24"/>
        </w:rPr>
        <w:t>peak</w:t>
      </w:r>
      <w:r w:rsidRPr="00A74402">
        <w:rPr>
          <w:rFonts w:ascii="Times New Roman" w:hAnsi="Times New Roman" w:cs="Times New Roman"/>
          <w:sz w:val="24"/>
        </w:rPr>
        <w:t xml:space="preserve"> son 1981, 1989, 1998, 2007/8 y 2013. </w:t>
      </w:r>
    </w:p>
    <w:p w14:paraId="11188412" w14:textId="47DD5454" w:rsidR="0040070D" w:rsidRPr="00A74402" w:rsidRDefault="0040070D" w:rsidP="0040070D">
      <w:pPr>
        <w:pStyle w:val="Textoindependiente"/>
        <w:widowControl/>
        <w:contextualSpacing/>
        <w:rPr>
          <w:rFonts w:ascii="Times New Roman" w:hAnsi="Times New Roman"/>
          <w:snapToGrid/>
          <w:sz w:val="24"/>
          <w:lang w:val="es-CL"/>
        </w:rPr>
      </w:pPr>
      <w:r w:rsidRPr="00A74402">
        <w:rPr>
          <w:rFonts w:ascii="Times New Roman" w:hAnsi="Times New Roman"/>
          <w:snapToGrid/>
          <w:sz w:val="24"/>
          <w:lang w:val="es-CL"/>
        </w:rPr>
        <w:tab/>
        <w:t>En la sección 1 se examina la evolución del conjunto de la formación de capital y su relación con el crecimiento del PIB. Trabajamos primero con la inversión bruta en moneda corriente de cada año; partimos con cifras globales para los mencionados sub-períodos, enseguida desagregamos (i) el sector minería</w:t>
      </w:r>
      <w:r w:rsidR="00C15791" w:rsidRPr="00A74402">
        <w:rPr>
          <w:rFonts w:ascii="Times New Roman" w:hAnsi="Times New Roman"/>
          <w:snapToGrid/>
          <w:sz w:val="24"/>
          <w:lang w:val="es-CL"/>
        </w:rPr>
        <w:t>,</w:t>
      </w:r>
      <w:r w:rsidRPr="00A74402">
        <w:rPr>
          <w:rFonts w:ascii="Times New Roman" w:hAnsi="Times New Roman"/>
          <w:snapToGrid/>
          <w:sz w:val="24"/>
          <w:lang w:val="es-CL"/>
        </w:rPr>
        <w:t xml:space="preserve"> por su importancia en la economía nacional y por los fuertes ciclos </w:t>
      </w:r>
      <w:r w:rsidR="00561AD0" w:rsidRPr="00A74402">
        <w:rPr>
          <w:rFonts w:ascii="Times New Roman" w:hAnsi="Times New Roman"/>
          <w:snapToGrid/>
          <w:sz w:val="24"/>
          <w:lang w:val="es-CL"/>
        </w:rPr>
        <w:t xml:space="preserve">de origen externo </w:t>
      </w:r>
      <w:r w:rsidRPr="00A74402">
        <w:rPr>
          <w:rFonts w:ascii="Times New Roman" w:hAnsi="Times New Roman"/>
          <w:snapToGrid/>
          <w:sz w:val="24"/>
          <w:lang w:val="es-CL"/>
        </w:rPr>
        <w:t>que ha experimentado y (ii) la inversión extranjera, por su fuerte tendencia a elevar su participación en la inversión productiva, distinguiendo para ello entre inversión creadora de nueva capacidad y adquisiciones de activos existentes. Luego</w:t>
      </w:r>
      <w:r w:rsidR="000D3146" w:rsidRPr="00A74402">
        <w:rPr>
          <w:rFonts w:ascii="Times New Roman" w:hAnsi="Times New Roman"/>
          <w:snapToGrid/>
          <w:sz w:val="24"/>
          <w:lang w:val="es-CL"/>
        </w:rPr>
        <w:t>,</w:t>
      </w:r>
      <w:r w:rsidRPr="00A74402">
        <w:rPr>
          <w:rFonts w:ascii="Times New Roman" w:hAnsi="Times New Roman"/>
          <w:snapToGrid/>
          <w:sz w:val="24"/>
          <w:lang w:val="es-CL"/>
        </w:rPr>
        <w:t xml:space="preserve"> consideramos cifras ajustadas por inflación, y concluimos con la formación neta de capital productivo y la evolución de su stock por miembro de la fuerza de trabajo. </w:t>
      </w:r>
    </w:p>
    <w:p w14:paraId="3C6E66C1" w14:textId="77777777" w:rsidR="0040070D" w:rsidRPr="00A74402" w:rsidRDefault="0040070D" w:rsidP="0040070D">
      <w:pPr>
        <w:pStyle w:val="Textoindependiente"/>
        <w:widowControl/>
        <w:contextualSpacing/>
        <w:rPr>
          <w:rFonts w:ascii="Times New Roman" w:hAnsi="Times New Roman"/>
          <w:snapToGrid/>
          <w:sz w:val="24"/>
          <w:lang w:val="es-CL"/>
        </w:rPr>
      </w:pPr>
      <w:r w:rsidRPr="00A74402">
        <w:rPr>
          <w:rFonts w:ascii="Times New Roman" w:hAnsi="Times New Roman"/>
          <w:snapToGrid/>
          <w:sz w:val="24"/>
          <w:lang w:val="es-CL"/>
        </w:rPr>
        <w:tab/>
        <w:t>En la sección 2, donde se examina la dinámica de inversiones en los sectores basados en RRNN y en infraestructura, que permiten proponer algunas hipótesis para explicar las divergencias analizadas en la sección 1. La primera es que desde principios de la década pasada el país confronta un escenario de rendimientos decrecientes en la producción y exportación de bienes y servicios basados en RRNN, acompañada por un deterioro de la capacidad de la naturaleza para otorgar servicios ambientales para la recomposición de los ecosistemas (p. ej. H20) y para la absorción de emisiones (p. ej. CO2, ozono, MP) y residuos industriales líquidos y sólidos (RILES). La segunda, es que la política pública de inversiones ha perdido dinamismo en la última década respecto al que exhibió en 1990-2005, en particular en cuanto a la capacidad de incentivar nuevas inversiones en infraestructura de transporte y telecomunicaciones. Solo logró dinamizar significativamente las inversiones en el sector eléctrico.</w:t>
      </w:r>
    </w:p>
    <w:p w14:paraId="020C5CD8" w14:textId="182D9D16" w:rsidR="0040070D" w:rsidRDefault="0040070D" w:rsidP="0040070D">
      <w:pPr>
        <w:pStyle w:val="Textoindependiente"/>
        <w:widowControl/>
        <w:contextualSpacing/>
        <w:rPr>
          <w:rFonts w:ascii="Times New Roman" w:hAnsi="Times New Roman"/>
          <w:snapToGrid/>
          <w:sz w:val="24"/>
          <w:lang w:val="es-CL"/>
        </w:rPr>
      </w:pPr>
      <w:r w:rsidRPr="00A74402">
        <w:rPr>
          <w:rFonts w:ascii="Times New Roman" w:hAnsi="Times New Roman"/>
          <w:snapToGrid/>
          <w:sz w:val="24"/>
          <w:lang w:val="es-CL"/>
        </w:rPr>
        <w:tab/>
        <w:t xml:space="preserve">En la sección 3 se analiza el rol crucial de la innovación para </w:t>
      </w:r>
      <w:r w:rsidRPr="00A74402">
        <w:rPr>
          <w:rFonts w:ascii="Times New Roman" w:hAnsi="Times New Roman"/>
          <w:i/>
          <w:snapToGrid/>
          <w:sz w:val="24"/>
          <w:lang w:val="es-CL"/>
        </w:rPr>
        <w:t>facilitar e incentivar</w:t>
      </w:r>
      <w:r w:rsidRPr="00A74402">
        <w:rPr>
          <w:rFonts w:ascii="Times New Roman" w:hAnsi="Times New Roman"/>
          <w:snapToGrid/>
          <w:sz w:val="24"/>
          <w:lang w:val="es-CL"/>
        </w:rPr>
        <w:t xml:space="preserve"> –pero no sustituir-- la inversión y la consiguiente acumulación de capital</w:t>
      </w:r>
      <w:r w:rsidR="00561AD0" w:rsidRPr="00A74402">
        <w:rPr>
          <w:rFonts w:ascii="Times New Roman" w:hAnsi="Times New Roman"/>
          <w:snapToGrid/>
          <w:sz w:val="24"/>
          <w:lang w:val="es-CL"/>
        </w:rPr>
        <w:t xml:space="preserve"> productivo</w:t>
      </w:r>
      <w:r w:rsidRPr="00A74402">
        <w:rPr>
          <w:rFonts w:ascii="Times New Roman" w:hAnsi="Times New Roman"/>
          <w:snapToGrid/>
          <w:sz w:val="24"/>
          <w:lang w:val="es-CL"/>
        </w:rPr>
        <w:t xml:space="preserve">. Por un lado, porque </w:t>
      </w:r>
      <w:r w:rsidR="00EF1E9E" w:rsidRPr="00A74402">
        <w:rPr>
          <w:rFonts w:ascii="Times New Roman" w:hAnsi="Times New Roman"/>
          <w:snapToGrid/>
          <w:sz w:val="24"/>
          <w:lang w:val="es-CL"/>
        </w:rPr>
        <w:t xml:space="preserve">si bien </w:t>
      </w:r>
      <w:r w:rsidR="00E401C0" w:rsidRPr="00A74402">
        <w:rPr>
          <w:rFonts w:ascii="Times New Roman" w:hAnsi="Times New Roman"/>
          <w:snapToGrid/>
          <w:sz w:val="24"/>
          <w:lang w:val="es-CL"/>
        </w:rPr>
        <w:t xml:space="preserve">la inversión en investigación y desarrollo </w:t>
      </w:r>
      <w:r w:rsidR="00EF1E9E" w:rsidRPr="00A74402">
        <w:rPr>
          <w:rFonts w:ascii="Times New Roman" w:hAnsi="Times New Roman"/>
          <w:snapToGrid/>
          <w:sz w:val="24"/>
          <w:lang w:val="es-CL"/>
        </w:rPr>
        <w:t xml:space="preserve">actualmente es muy baja (0,38% del PIB), un incremento rápido y sostenido de </w:t>
      </w:r>
      <w:r w:rsidRPr="00A74402">
        <w:rPr>
          <w:rFonts w:ascii="Times New Roman" w:hAnsi="Times New Roman"/>
          <w:snapToGrid/>
          <w:sz w:val="24"/>
          <w:lang w:val="es-CL"/>
        </w:rPr>
        <w:t>la innovación basada en I+D puede</w:t>
      </w:r>
      <w:r w:rsidR="00717DD9" w:rsidRPr="00A74402">
        <w:rPr>
          <w:rFonts w:ascii="Times New Roman" w:hAnsi="Times New Roman"/>
          <w:snapToGrid/>
          <w:sz w:val="24"/>
          <w:lang w:val="es-CL"/>
        </w:rPr>
        <w:t xml:space="preserve"> facilitar la</w:t>
      </w:r>
      <w:r w:rsidRPr="00A74402">
        <w:rPr>
          <w:rFonts w:ascii="Times New Roman" w:hAnsi="Times New Roman"/>
          <w:snapToGrid/>
          <w:sz w:val="24"/>
          <w:lang w:val="es-CL"/>
        </w:rPr>
        <w:t xml:space="preserve"> re</w:t>
      </w:r>
      <w:r w:rsidR="00C15791" w:rsidRPr="00A74402">
        <w:rPr>
          <w:rFonts w:ascii="Times New Roman" w:hAnsi="Times New Roman"/>
          <w:snapToGrid/>
          <w:sz w:val="24"/>
          <w:lang w:val="es-CL"/>
        </w:rPr>
        <w:t>cupera</w:t>
      </w:r>
      <w:r w:rsidR="00717DD9" w:rsidRPr="00A74402">
        <w:rPr>
          <w:rFonts w:ascii="Times New Roman" w:hAnsi="Times New Roman"/>
          <w:snapToGrid/>
          <w:sz w:val="24"/>
          <w:lang w:val="es-CL"/>
        </w:rPr>
        <w:t>ción de</w:t>
      </w:r>
      <w:r w:rsidRPr="00A74402">
        <w:rPr>
          <w:rFonts w:ascii="Times New Roman" w:hAnsi="Times New Roman"/>
          <w:snapToGrid/>
          <w:sz w:val="24"/>
          <w:lang w:val="es-CL"/>
        </w:rPr>
        <w:t xml:space="preserve"> rendimientos crecientes en ramas basadas en recursos naturales y elevar la productividad en otras como el transporte y la industria. Por otro lado, la innovación en nuevas infraestructuras (p. ej.</w:t>
      </w:r>
      <w:r w:rsidR="000D3146" w:rsidRPr="00A74402">
        <w:rPr>
          <w:rFonts w:ascii="Times New Roman" w:hAnsi="Times New Roman"/>
          <w:snapToGrid/>
          <w:sz w:val="24"/>
          <w:lang w:val="es-CL"/>
        </w:rPr>
        <w:t>,</w:t>
      </w:r>
      <w:r w:rsidRPr="00A74402">
        <w:rPr>
          <w:rFonts w:ascii="Times New Roman" w:hAnsi="Times New Roman"/>
          <w:snapToGrid/>
          <w:sz w:val="24"/>
          <w:lang w:val="es-CL"/>
        </w:rPr>
        <w:t xml:space="preserve"> banda ancha o la energía solar) puede facilitar el desarrollo de sectores de alta productividad y la diversificación de la matriz productiva. Sin embargo, esto requiere de un Estado Emprendedor (Mazzucato, 2015) que impulse nuevas políticas públicas e innovaciones institucionales.</w:t>
      </w:r>
    </w:p>
    <w:p w14:paraId="2BB7C1BD" w14:textId="77777777" w:rsidR="00931A70" w:rsidRPr="00A74402" w:rsidRDefault="00931A70" w:rsidP="0040070D">
      <w:pPr>
        <w:pStyle w:val="Textoindependiente"/>
        <w:widowControl/>
        <w:contextualSpacing/>
        <w:rPr>
          <w:rFonts w:ascii="Times New Roman" w:hAnsi="Times New Roman"/>
          <w:b/>
          <w:snapToGrid/>
          <w:sz w:val="28"/>
          <w:szCs w:val="28"/>
          <w:lang w:val="es-CL"/>
        </w:rPr>
      </w:pPr>
    </w:p>
    <w:p w14:paraId="0B3D9883" w14:textId="4D2F809B" w:rsidR="0040070D" w:rsidRPr="00A74402" w:rsidRDefault="0040070D" w:rsidP="0040070D">
      <w:pPr>
        <w:pStyle w:val="Textoindependiente"/>
        <w:widowControl/>
        <w:contextualSpacing/>
        <w:rPr>
          <w:rFonts w:ascii="Times New Roman" w:hAnsi="Times New Roman"/>
          <w:b/>
          <w:snapToGrid/>
          <w:sz w:val="28"/>
          <w:szCs w:val="28"/>
          <w:lang w:val="es-CL"/>
        </w:rPr>
      </w:pPr>
      <w:r w:rsidRPr="00A74402">
        <w:rPr>
          <w:rFonts w:ascii="Times New Roman" w:hAnsi="Times New Roman"/>
          <w:b/>
          <w:snapToGrid/>
          <w:sz w:val="28"/>
          <w:szCs w:val="28"/>
          <w:lang w:val="es-CL"/>
        </w:rPr>
        <w:t>1. Evolución del conjunto de la formación de capital y el crecimiento</w:t>
      </w:r>
    </w:p>
    <w:p w14:paraId="5510A1BF" w14:textId="43C420EB" w:rsidR="0040070D" w:rsidRPr="00A74402" w:rsidRDefault="0040070D" w:rsidP="0040070D">
      <w:pPr>
        <w:ind w:firstLine="708"/>
        <w:contextualSpacing/>
        <w:rPr>
          <w:rFonts w:ascii="Times New Roman" w:hAnsi="Times New Roman" w:cs="Times New Roman"/>
          <w:iCs/>
          <w:sz w:val="24"/>
          <w:szCs w:val="24"/>
        </w:rPr>
      </w:pPr>
      <w:r w:rsidRPr="00A74402">
        <w:rPr>
          <w:rFonts w:ascii="Times New Roman" w:hAnsi="Times New Roman" w:cs="Times New Roman"/>
          <w:iCs/>
          <w:sz w:val="24"/>
          <w:szCs w:val="24"/>
        </w:rPr>
        <w:t>Desde los años noventa, Chile ha exhibido un coeficiente de inversión o formación bruta de capital (FBKF/PIB) elevado en comparación con el promedio de América Latina, lo que respalda la mayor tasa de crecimiento del PIB chileno en 1990-2017 respecto a la región (4,6% y 2,7% anual, respectivamente) y respecto a la registrada por Chile en 1974-89 (2,9% anual</w:t>
      </w:r>
      <w:r w:rsidR="009A1329" w:rsidRPr="00A74402">
        <w:rPr>
          <w:rFonts w:ascii="Times New Roman" w:hAnsi="Times New Roman" w:cs="Times New Roman"/>
          <w:iCs/>
          <w:sz w:val="24"/>
          <w:szCs w:val="24"/>
        </w:rPr>
        <w:t xml:space="preserve"> durante la dictadura</w:t>
      </w:r>
      <w:r w:rsidRPr="00A74402">
        <w:rPr>
          <w:rFonts w:ascii="Times New Roman" w:hAnsi="Times New Roman" w:cs="Times New Roman"/>
          <w:iCs/>
          <w:sz w:val="24"/>
          <w:szCs w:val="24"/>
        </w:rPr>
        <w:t>). Ese mayor coeficiente de inversión desde los noventa también se reflejó en el aumento del stock de capital por miembro de la fuerza de trabajo, lo que ha sustentado la elevación de los salarios reales desde el retorno a la democracia. No obstante, la evolución   de la inversión y del stock de capital ha experimentado significativos altibajos y cambios de su composición, así como el crecimiento del PIB ha fluctuado notoriamente a través de este periodo.</w:t>
      </w:r>
    </w:p>
    <w:p w14:paraId="7A19F327" w14:textId="77777777" w:rsidR="0040070D" w:rsidRPr="00A74402" w:rsidRDefault="0040070D" w:rsidP="0040070D">
      <w:pPr>
        <w:ind w:firstLine="708"/>
        <w:contextualSpacing/>
        <w:rPr>
          <w:rFonts w:ascii="Times New Roman" w:hAnsi="Times New Roman" w:cs="Times New Roman"/>
          <w:iCs/>
          <w:sz w:val="24"/>
          <w:szCs w:val="24"/>
        </w:rPr>
      </w:pPr>
      <w:r w:rsidRPr="00A74402">
        <w:rPr>
          <w:rFonts w:ascii="Times New Roman" w:hAnsi="Times New Roman" w:cs="Times New Roman"/>
          <w:iCs/>
          <w:sz w:val="24"/>
          <w:szCs w:val="24"/>
        </w:rPr>
        <w:t xml:space="preserve"> </w:t>
      </w:r>
    </w:p>
    <w:p w14:paraId="5092060B" w14:textId="77777777" w:rsidR="0040070D" w:rsidRPr="00A74402" w:rsidRDefault="0040070D" w:rsidP="0040070D">
      <w:pPr>
        <w:contextualSpacing/>
        <w:rPr>
          <w:rFonts w:ascii="Times New Roman" w:hAnsi="Times New Roman" w:cs="Times New Roman"/>
          <w:iCs/>
          <w:sz w:val="24"/>
          <w:szCs w:val="24"/>
        </w:rPr>
      </w:pPr>
      <w:r w:rsidRPr="00A74402">
        <w:rPr>
          <w:rFonts w:ascii="Times New Roman" w:hAnsi="Times New Roman" w:cs="Times New Roman"/>
          <w:b/>
          <w:i/>
          <w:iCs/>
          <w:sz w:val="28"/>
          <w:szCs w:val="28"/>
        </w:rPr>
        <w:t>a)</w:t>
      </w:r>
      <w:r w:rsidRPr="00A74402">
        <w:rPr>
          <w:rFonts w:ascii="Times New Roman" w:hAnsi="Times New Roman" w:cs="Times New Roman"/>
          <w:b/>
          <w:i/>
          <w:sz w:val="28"/>
          <w:szCs w:val="28"/>
        </w:rPr>
        <w:t xml:space="preserve"> La formación de capital fijo, 1974-2017 </w:t>
      </w:r>
      <w:r w:rsidRPr="00A74402">
        <w:rPr>
          <w:rStyle w:val="Refdenotaalpie"/>
          <w:rFonts w:ascii="Times New Roman" w:hAnsi="Times New Roman" w:cs="Times New Roman"/>
          <w:iCs/>
          <w:sz w:val="32"/>
          <w:szCs w:val="24"/>
        </w:rPr>
        <w:footnoteReference w:id="5"/>
      </w:r>
    </w:p>
    <w:p w14:paraId="23A4624B" w14:textId="77777777" w:rsidR="0040070D" w:rsidRPr="00A74402" w:rsidRDefault="0040070D" w:rsidP="0040070D">
      <w:pPr>
        <w:autoSpaceDE w:val="0"/>
        <w:autoSpaceDN w:val="0"/>
        <w:adjustRightInd w:val="0"/>
        <w:ind w:firstLine="708"/>
        <w:contextualSpacing/>
        <w:rPr>
          <w:rFonts w:ascii="Times New Roman" w:hAnsi="Times New Roman" w:cs="Times New Roman"/>
          <w:sz w:val="24"/>
          <w:szCs w:val="24"/>
        </w:rPr>
      </w:pPr>
      <w:r w:rsidRPr="00A74402">
        <w:rPr>
          <w:rFonts w:ascii="Times New Roman" w:hAnsi="Times New Roman" w:cs="Times New Roman"/>
          <w:sz w:val="24"/>
          <w:szCs w:val="24"/>
        </w:rPr>
        <w:t>El stock de bienes de capital (SK) es una variable determinante de la capacidad productiva de una economía. La definición convencional de las cuentas nacionales incluye construcciones residenciales y comerciales, infraestructura, maquinarias y equipos.</w:t>
      </w:r>
      <w:r w:rsidRPr="00A74402">
        <w:rPr>
          <w:rStyle w:val="Refdenotaalpie"/>
          <w:rFonts w:ascii="Times New Roman" w:hAnsi="Times New Roman" w:cs="Times New Roman"/>
          <w:sz w:val="24"/>
          <w:szCs w:val="24"/>
        </w:rPr>
        <w:footnoteReference w:id="6"/>
      </w:r>
    </w:p>
    <w:p w14:paraId="0AF6970B" w14:textId="30FF212C" w:rsidR="0040070D" w:rsidRPr="00A74402" w:rsidRDefault="00E70A8D" w:rsidP="0040070D">
      <w:pPr>
        <w:autoSpaceDE w:val="0"/>
        <w:autoSpaceDN w:val="0"/>
        <w:adjustRightInd w:val="0"/>
        <w:ind w:firstLine="708"/>
        <w:contextualSpacing/>
        <w:rPr>
          <w:rFonts w:ascii="Times New Roman" w:hAnsi="Times New Roman" w:cs="Times New Roman"/>
          <w:sz w:val="24"/>
          <w:szCs w:val="24"/>
        </w:rPr>
      </w:pPr>
      <w:r w:rsidRPr="00A74402">
        <w:rPr>
          <w:rFonts w:ascii="Times New Roman" w:hAnsi="Times New Roman" w:cs="Times New Roman"/>
          <w:sz w:val="24"/>
          <w:szCs w:val="24"/>
        </w:rPr>
        <w:t>El</w:t>
      </w:r>
      <w:r w:rsidR="00D50AF6" w:rsidRPr="00A74402">
        <w:rPr>
          <w:rFonts w:ascii="Times New Roman" w:hAnsi="Times New Roman" w:cs="Times New Roman"/>
          <w:sz w:val="24"/>
          <w:szCs w:val="24"/>
        </w:rPr>
        <w:t xml:space="preserve"> </w:t>
      </w:r>
      <w:r w:rsidR="0040070D" w:rsidRPr="00A74402">
        <w:rPr>
          <w:rFonts w:ascii="Times New Roman" w:hAnsi="Times New Roman" w:cs="Times New Roman"/>
          <w:sz w:val="24"/>
          <w:szCs w:val="24"/>
        </w:rPr>
        <w:t>SK se forma a partir de los flujos brutos de inversión en bienes y servicios productivos, menos la depreciación del stock o consumo de capital, DK (ver Ffrench-Davis y Vivanco, 2016). La FBKF es la información provista habitualmente y es la de cálculo más directo a precios corrientes de mercado; representa los gastos efectuados en cada unidad de tiempo por el conjunto de inversionistas productivos que operan en el mercado interno. Luego de ello vienen tres datos derivados. Uno, la FBKF en términos reales, que permite hacer comparaciones inter-temporales, exige la compleja tarea de estimar los deflactores de maquinarias y equipos (M&amp;E) y sus otros componentes.</w:t>
      </w:r>
      <w:r w:rsidR="0040070D" w:rsidRPr="00A74402">
        <w:rPr>
          <w:rStyle w:val="Refdenotaalpie"/>
          <w:rFonts w:ascii="Times New Roman" w:hAnsi="Times New Roman" w:cs="Times New Roman"/>
          <w:sz w:val="24"/>
          <w:szCs w:val="24"/>
        </w:rPr>
        <w:footnoteReference w:id="7"/>
      </w:r>
      <w:r w:rsidRPr="00A74402">
        <w:rPr>
          <w:rFonts w:ascii="Times New Roman" w:hAnsi="Times New Roman" w:cs="Times New Roman"/>
          <w:sz w:val="24"/>
          <w:szCs w:val="24"/>
        </w:rPr>
        <w:t xml:space="preserve"> </w:t>
      </w:r>
      <w:r w:rsidR="0040070D" w:rsidRPr="00A74402">
        <w:rPr>
          <w:rFonts w:ascii="Times New Roman" w:hAnsi="Times New Roman" w:cs="Times New Roman"/>
          <w:sz w:val="24"/>
          <w:szCs w:val="24"/>
        </w:rPr>
        <w:t>Dos, la estimación de la depreciación es compleja por los numerosos supuestos que implica respecto de la vida útil de los diversos activos productivos. Tres, una etapa sencilla, construida sobre las dos anteriores, que es la estimación del stock de capital, la que corresponde a la suma de los flujos de FBKF menos DK (=FNKF).</w:t>
      </w:r>
    </w:p>
    <w:p w14:paraId="62B658E2" w14:textId="3439CDEB" w:rsidR="008F2479" w:rsidRPr="00A74402" w:rsidRDefault="0040070D" w:rsidP="0040070D">
      <w:pPr>
        <w:autoSpaceDE w:val="0"/>
        <w:autoSpaceDN w:val="0"/>
        <w:adjustRightInd w:val="0"/>
        <w:ind w:firstLine="708"/>
        <w:contextualSpacing/>
        <w:rPr>
          <w:rFonts w:ascii="Times New Roman" w:hAnsi="Times New Roman" w:cs="Times New Roman"/>
          <w:sz w:val="24"/>
          <w:szCs w:val="24"/>
        </w:rPr>
      </w:pPr>
      <w:r w:rsidRPr="00A74402">
        <w:rPr>
          <w:rFonts w:ascii="Times New Roman" w:hAnsi="Times New Roman" w:cs="Times New Roman"/>
          <w:sz w:val="24"/>
          <w:szCs w:val="24"/>
        </w:rPr>
        <w:t xml:space="preserve">En esta </w:t>
      </w:r>
      <w:r w:rsidR="00717DD9" w:rsidRPr="00A74402">
        <w:rPr>
          <w:rFonts w:ascii="Times New Roman" w:hAnsi="Times New Roman" w:cs="Times New Roman"/>
          <w:sz w:val="24"/>
          <w:szCs w:val="24"/>
        </w:rPr>
        <w:t>sub-</w:t>
      </w:r>
      <w:r w:rsidRPr="00A74402">
        <w:rPr>
          <w:rFonts w:ascii="Times New Roman" w:hAnsi="Times New Roman" w:cs="Times New Roman"/>
          <w:sz w:val="24"/>
          <w:szCs w:val="24"/>
        </w:rPr>
        <w:t>sección nos concentraremos en la evolución de los flujos brutos y netos</w:t>
      </w:r>
      <w:r w:rsidR="00E70A8D" w:rsidRPr="00A74402">
        <w:rPr>
          <w:rFonts w:ascii="Times New Roman" w:hAnsi="Times New Roman" w:cs="Times New Roman"/>
          <w:sz w:val="24"/>
          <w:szCs w:val="24"/>
        </w:rPr>
        <w:t xml:space="preserve"> de inversión</w:t>
      </w:r>
      <w:r w:rsidRPr="00A74402">
        <w:rPr>
          <w:rFonts w:ascii="Times New Roman" w:hAnsi="Times New Roman" w:cs="Times New Roman"/>
          <w:sz w:val="24"/>
          <w:szCs w:val="24"/>
        </w:rPr>
        <w:t xml:space="preserve"> </w:t>
      </w:r>
      <w:r w:rsidR="000D3146" w:rsidRPr="00A74402">
        <w:rPr>
          <w:rFonts w:ascii="Times New Roman" w:hAnsi="Times New Roman" w:cs="Times New Roman"/>
          <w:sz w:val="24"/>
          <w:szCs w:val="24"/>
        </w:rPr>
        <w:t xml:space="preserve">anual </w:t>
      </w:r>
      <w:r w:rsidRPr="00A74402">
        <w:rPr>
          <w:rFonts w:ascii="Times New Roman" w:hAnsi="Times New Roman" w:cs="Times New Roman"/>
          <w:sz w:val="24"/>
          <w:szCs w:val="24"/>
        </w:rPr>
        <w:t xml:space="preserve">y del stock </w:t>
      </w:r>
      <w:r w:rsidR="00E70A8D" w:rsidRPr="00A74402">
        <w:rPr>
          <w:rFonts w:ascii="Times New Roman" w:hAnsi="Times New Roman" w:cs="Times New Roman"/>
          <w:sz w:val="24"/>
          <w:szCs w:val="24"/>
        </w:rPr>
        <w:t>de capital d</w:t>
      </w:r>
      <w:r w:rsidRPr="00A74402">
        <w:rPr>
          <w:rFonts w:ascii="Times New Roman" w:hAnsi="Times New Roman" w:cs="Times New Roman"/>
          <w:sz w:val="24"/>
          <w:szCs w:val="24"/>
        </w:rPr>
        <w:t xml:space="preserve">esde 1974, al inicio de las reformas neoliberales de la dictadura, cubriendo hasta 2017. Debido a su fuerte incidencia y fluctuabilidad, posteriormente desagregamos la inversión global de la minería y luego la inversión extranjera. Un examen desagregado al interior de la minería y </w:t>
      </w:r>
      <w:r w:rsidR="008F2479" w:rsidRPr="00A74402">
        <w:rPr>
          <w:rFonts w:ascii="Times New Roman" w:hAnsi="Times New Roman" w:cs="Times New Roman"/>
          <w:sz w:val="24"/>
          <w:szCs w:val="24"/>
        </w:rPr>
        <w:t xml:space="preserve">de </w:t>
      </w:r>
      <w:r w:rsidRPr="00A74402">
        <w:rPr>
          <w:rFonts w:ascii="Times New Roman" w:hAnsi="Times New Roman" w:cs="Times New Roman"/>
          <w:sz w:val="24"/>
          <w:szCs w:val="24"/>
        </w:rPr>
        <w:t xml:space="preserve">otros dos sectores se desarrolla en la sección siguiente. </w:t>
      </w:r>
    </w:p>
    <w:p w14:paraId="62B6F6B9" w14:textId="087CBBB5" w:rsidR="0040070D" w:rsidRPr="00A74402" w:rsidRDefault="0040070D" w:rsidP="0040070D">
      <w:pPr>
        <w:autoSpaceDE w:val="0"/>
        <w:autoSpaceDN w:val="0"/>
        <w:adjustRightInd w:val="0"/>
        <w:ind w:firstLine="708"/>
        <w:contextualSpacing/>
        <w:rPr>
          <w:rFonts w:ascii="Times New Roman" w:hAnsi="Times New Roman" w:cs="Times New Roman"/>
          <w:sz w:val="24"/>
          <w:szCs w:val="24"/>
        </w:rPr>
      </w:pPr>
      <w:r w:rsidRPr="00A74402">
        <w:rPr>
          <w:rFonts w:ascii="Times New Roman" w:hAnsi="Times New Roman" w:cs="Times New Roman"/>
          <w:sz w:val="24"/>
          <w:szCs w:val="24"/>
        </w:rPr>
        <w:t>Comenzaremos con la FBKF en precios corrientes de cada año. Esta refleja el gasto efectivo de los agentes que invierten en capital productivo, aunque no la evolución del poder adquisitivo de ese gasto. Ello se aborda más adelante.</w:t>
      </w:r>
    </w:p>
    <w:p w14:paraId="1F3EFB63" w14:textId="77777777" w:rsidR="0040070D" w:rsidRPr="00A74402" w:rsidRDefault="0040070D" w:rsidP="0040070D">
      <w:pPr>
        <w:autoSpaceDE w:val="0"/>
        <w:autoSpaceDN w:val="0"/>
        <w:adjustRightInd w:val="0"/>
        <w:ind w:firstLine="708"/>
        <w:contextualSpacing/>
        <w:rPr>
          <w:rFonts w:ascii="Times New Roman" w:hAnsi="Times New Roman" w:cs="Times New Roman"/>
          <w:sz w:val="24"/>
          <w:szCs w:val="24"/>
        </w:rPr>
      </w:pPr>
      <w:r w:rsidRPr="00A74402">
        <w:rPr>
          <w:rFonts w:ascii="Times New Roman" w:hAnsi="Times New Roman" w:cs="Times New Roman"/>
          <w:sz w:val="24"/>
          <w:szCs w:val="24"/>
        </w:rPr>
        <w:t xml:space="preserve">El cuadro 1 presenta la evolución, en moneda corriente, de la FBKF como proporción del PIB (tasa de inversión). Cada sub-período está definido de manera que cubre la evolución del PIB entre máximos efectivos de actividad </w:t>
      </w:r>
      <w:r w:rsidRPr="00A74402">
        <w:rPr>
          <w:rFonts w:ascii="Times New Roman" w:hAnsi="Times New Roman" w:cs="Times New Roman"/>
          <w:i/>
          <w:sz w:val="24"/>
          <w:szCs w:val="24"/>
        </w:rPr>
        <w:t xml:space="preserve">(peaks </w:t>
      </w:r>
      <w:r w:rsidRPr="00A74402">
        <w:rPr>
          <w:rFonts w:ascii="Times New Roman" w:hAnsi="Times New Roman" w:cs="Times New Roman"/>
          <w:sz w:val="24"/>
          <w:szCs w:val="24"/>
        </w:rPr>
        <w:t>a</w:t>
      </w:r>
      <w:r w:rsidRPr="00A74402">
        <w:rPr>
          <w:rFonts w:ascii="Times New Roman" w:hAnsi="Times New Roman" w:cs="Times New Roman"/>
          <w:i/>
          <w:sz w:val="24"/>
          <w:szCs w:val="24"/>
        </w:rPr>
        <w:t xml:space="preserve"> peaks </w:t>
      </w:r>
      <w:r w:rsidRPr="00A74402">
        <w:rPr>
          <w:rFonts w:ascii="Times New Roman" w:hAnsi="Times New Roman" w:cs="Times New Roman"/>
          <w:sz w:val="24"/>
          <w:szCs w:val="24"/>
        </w:rPr>
        <w:t>del PIB anual</w:t>
      </w:r>
      <w:r w:rsidRPr="00A74402">
        <w:rPr>
          <w:rFonts w:ascii="Times New Roman" w:hAnsi="Times New Roman" w:cs="Times New Roman"/>
          <w:i/>
          <w:sz w:val="24"/>
          <w:szCs w:val="24"/>
        </w:rPr>
        <w:t xml:space="preserve">) </w:t>
      </w:r>
      <w:r w:rsidRPr="00A74402">
        <w:rPr>
          <w:rFonts w:ascii="Times New Roman" w:hAnsi="Times New Roman" w:cs="Times New Roman"/>
          <w:sz w:val="24"/>
          <w:szCs w:val="24"/>
        </w:rPr>
        <w:t xml:space="preserve">para controlar por fluctuaciones cíclicas en la tasa de utilización de la capacidad productiva. </w:t>
      </w:r>
    </w:p>
    <w:p w14:paraId="5728395E" w14:textId="77777777" w:rsidR="0040070D" w:rsidRPr="00A74402" w:rsidRDefault="0040070D" w:rsidP="0040070D">
      <w:pPr>
        <w:autoSpaceDE w:val="0"/>
        <w:autoSpaceDN w:val="0"/>
        <w:adjustRightInd w:val="0"/>
        <w:ind w:firstLine="708"/>
        <w:contextualSpacing/>
        <w:rPr>
          <w:rFonts w:ascii="Times New Roman" w:hAnsi="Times New Roman" w:cs="Times New Roman"/>
          <w:sz w:val="24"/>
          <w:szCs w:val="24"/>
        </w:rPr>
      </w:pPr>
      <w:r w:rsidRPr="00A74402">
        <w:rPr>
          <w:rFonts w:ascii="Times New Roman" w:hAnsi="Times New Roman" w:cs="Times New Roman"/>
          <w:sz w:val="24"/>
          <w:szCs w:val="24"/>
        </w:rPr>
        <w:tab/>
      </w:r>
      <w:r w:rsidRPr="00A74402">
        <w:rPr>
          <w:rFonts w:ascii="Times New Roman" w:hAnsi="Times New Roman" w:cs="Times New Roman"/>
          <w:sz w:val="24"/>
          <w:szCs w:val="24"/>
        </w:rPr>
        <w:tab/>
      </w:r>
      <w:r w:rsidRPr="00A74402">
        <w:rPr>
          <w:rFonts w:ascii="Times New Roman" w:hAnsi="Times New Roman" w:cs="Times New Roman"/>
          <w:sz w:val="24"/>
          <w:szCs w:val="24"/>
        </w:rPr>
        <w:tab/>
      </w:r>
      <w:r w:rsidRPr="00A74402">
        <w:rPr>
          <w:rFonts w:ascii="Times New Roman" w:hAnsi="Times New Roman" w:cs="Times New Roman"/>
          <w:sz w:val="24"/>
          <w:szCs w:val="24"/>
        </w:rPr>
        <w:tab/>
        <w:t>Cuadro 1</w:t>
      </w:r>
    </w:p>
    <w:p w14:paraId="1E248CCC" w14:textId="02E62E68" w:rsidR="0040070D" w:rsidRPr="00A74402" w:rsidRDefault="0040070D" w:rsidP="0040070D">
      <w:pPr>
        <w:ind w:firstLine="708"/>
        <w:contextualSpacing/>
        <w:rPr>
          <w:rFonts w:ascii="Times New Roman" w:hAnsi="Times New Roman" w:cs="Times New Roman"/>
          <w:sz w:val="24"/>
          <w:szCs w:val="24"/>
        </w:rPr>
      </w:pPr>
      <w:r w:rsidRPr="00A74402">
        <w:rPr>
          <w:rFonts w:ascii="Times New Roman" w:hAnsi="Times New Roman" w:cs="Times New Roman"/>
          <w:sz w:val="24"/>
          <w:szCs w:val="24"/>
        </w:rPr>
        <w:t>La col. (1) muestra que en los 16 años de la dictadura (1974-89), se registró una tasa de inversión de 17,3%, la menor de todo el periodo cubierto en este artículo. En contraste, en los primeros 9 años de retorno a la democracia (1990-98), se logró un promedio de 25,2%</w:t>
      </w:r>
      <w:r w:rsidR="002D7783" w:rsidRPr="00A74402">
        <w:rPr>
          <w:rFonts w:ascii="Times New Roman" w:hAnsi="Times New Roman" w:cs="Times New Roman"/>
          <w:sz w:val="24"/>
          <w:szCs w:val="24"/>
        </w:rPr>
        <w:t xml:space="preserve"> del PIB</w:t>
      </w:r>
      <w:r w:rsidRPr="00A74402">
        <w:rPr>
          <w:rFonts w:ascii="Times New Roman" w:hAnsi="Times New Roman" w:cs="Times New Roman"/>
          <w:sz w:val="24"/>
          <w:szCs w:val="24"/>
        </w:rPr>
        <w:t>, la tasa más elevada y, a consecuencia de ello, el crecimiento económico más vigoroso de todos estos 44 años (7,1% anual). Desde 1999, la tasa de inversión ha fluctuado cíclicamente entre ambos extremos comentados, como se explica en la sub</w:t>
      </w:r>
      <w:r w:rsidR="00E233EE" w:rsidRPr="00A74402">
        <w:rPr>
          <w:rFonts w:ascii="Times New Roman" w:hAnsi="Times New Roman" w:cs="Times New Roman"/>
          <w:sz w:val="24"/>
          <w:szCs w:val="24"/>
        </w:rPr>
        <w:t>-</w:t>
      </w:r>
      <w:r w:rsidRPr="00A74402">
        <w:rPr>
          <w:rFonts w:ascii="Times New Roman" w:hAnsi="Times New Roman" w:cs="Times New Roman"/>
          <w:sz w:val="24"/>
          <w:szCs w:val="24"/>
        </w:rPr>
        <w:t>sección siguiente.</w:t>
      </w:r>
    </w:p>
    <w:p w14:paraId="7B3A251A" w14:textId="38F53CB5" w:rsidR="0040070D" w:rsidRPr="00A74402" w:rsidRDefault="0040070D" w:rsidP="0040070D">
      <w:pPr>
        <w:ind w:firstLine="708"/>
        <w:contextualSpacing/>
        <w:rPr>
          <w:rFonts w:ascii="Times New Roman" w:hAnsi="Times New Roman" w:cs="Times New Roman"/>
          <w:sz w:val="24"/>
          <w:szCs w:val="24"/>
        </w:rPr>
      </w:pPr>
      <w:r w:rsidRPr="00A74402">
        <w:rPr>
          <w:rFonts w:ascii="Times New Roman" w:hAnsi="Times New Roman" w:cs="Times New Roman"/>
          <w:sz w:val="24"/>
          <w:szCs w:val="24"/>
        </w:rPr>
        <w:t>Se han registrado grandes cambios en la composición sectorial de la formación de capital.  En los años recientes tuvo lugar un fuerte boom de precios de recursos naturales, incluido el cobre. Ello indujo una notable expansión de la inversión minera, la que aumentó gradualmente desde una media anual de US$ 2.505 millones en 2003-04 hasta US$ 19.771 millones en 2012-13, cuando ese ciclo terminó. Con lo cual, entre ambos bienios, la inversión minera aumentó desde una media anual de 14,0% hasta 29,2% de la FBKF total</w:t>
      </w:r>
      <w:r w:rsidR="0061225C" w:rsidRPr="00A74402">
        <w:rPr>
          <w:rFonts w:ascii="Times New Roman" w:hAnsi="Times New Roman" w:cs="Times New Roman"/>
          <w:sz w:val="24"/>
          <w:szCs w:val="24"/>
        </w:rPr>
        <w:t xml:space="preserve"> (cuadro 2</w:t>
      </w:r>
      <w:r w:rsidR="00593C81" w:rsidRPr="00A74402">
        <w:rPr>
          <w:rFonts w:ascii="Times New Roman" w:hAnsi="Times New Roman" w:cs="Times New Roman"/>
          <w:sz w:val="24"/>
          <w:szCs w:val="24"/>
        </w:rPr>
        <w:t xml:space="preserve"> y gráfico 2</w:t>
      </w:r>
      <w:r w:rsidR="0061225C" w:rsidRPr="00A74402">
        <w:rPr>
          <w:rFonts w:ascii="Times New Roman" w:hAnsi="Times New Roman" w:cs="Times New Roman"/>
          <w:sz w:val="24"/>
          <w:szCs w:val="24"/>
        </w:rPr>
        <w:t>)</w:t>
      </w:r>
      <w:r w:rsidRPr="00A74402">
        <w:rPr>
          <w:rFonts w:ascii="Times New Roman" w:hAnsi="Times New Roman" w:cs="Times New Roman"/>
          <w:sz w:val="24"/>
          <w:szCs w:val="24"/>
        </w:rPr>
        <w:t xml:space="preserve">. Esta mayor inversión minera fue financiada mayoritariamente por sus crecientes utilidades. En el curso de 2013 el ciclo inversionista minero iniciaba su descenso. </w:t>
      </w:r>
    </w:p>
    <w:p w14:paraId="3D1C1A95" w14:textId="77777777" w:rsidR="0040070D" w:rsidRPr="00A74402" w:rsidRDefault="0040070D" w:rsidP="0040070D">
      <w:pPr>
        <w:ind w:left="2832" w:firstLine="708"/>
        <w:contextualSpacing/>
        <w:rPr>
          <w:rFonts w:ascii="Times New Roman" w:hAnsi="Times New Roman" w:cs="Times New Roman"/>
          <w:sz w:val="24"/>
          <w:szCs w:val="24"/>
        </w:rPr>
      </w:pPr>
      <w:r w:rsidRPr="00A74402">
        <w:rPr>
          <w:rFonts w:ascii="Times New Roman" w:hAnsi="Times New Roman" w:cs="Times New Roman"/>
          <w:sz w:val="24"/>
          <w:szCs w:val="24"/>
        </w:rPr>
        <w:t>Cuadro 2 Gráfico 2</w:t>
      </w:r>
    </w:p>
    <w:p w14:paraId="51DB13DB" w14:textId="6F971F7C" w:rsidR="0040070D" w:rsidRPr="00A74402" w:rsidRDefault="0040070D" w:rsidP="0040070D">
      <w:pPr>
        <w:ind w:firstLine="708"/>
        <w:contextualSpacing/>
        <w:rPr>
          <w:rFonts w:ascii="Times New Roman" w:hAnsi="Times New Roman" w:cs="Times New Roman"/>
          <w:sz w:val="24"/>
          <w:szCs w:val="24"/>
        </w:rPr>
      </w:pPr>
      <w:r w:rsidRPr="00A74402">
        <w:rPr>
          <w:rFonts w:ascii="Times New Roman" w:hAnsi="Times New Roman" w:cs="Times New Roman"/>
          <w:sz w:val="24"/>
          <w:szCs w:val="24"/>
        </w:rPr>
        <w:t>La intensidad de la fuerza cíclica de la minería le imprimió su sello a la formación de capital</w:t>
      </w:r>
      <w:r w:rsidR="007F106C" w:rsidRPr="00A74402">
        <w:rPr>
          <w:rFonts w:ascii="Times New Roman" w:hAnsi="Times New Roman" w:cs="Times New Roman"/>
          <w:sz w:val="24"/>
          <w:szCs w:val="24"/>
        </w:rPr>
        <w:t xml:space="preserve"> en los años más recientes</w:t>
      </w:r>
      <w:r w:rsidRPr="00A74402">
        <w:rPr>
          <w:rFonts w:ascii="Times New Roman" w:hAnsi="Times New Roman" w:cs="Times New Roman"/>
          <w:sz w:val="24"/>
          <w:szCs w:val="24"/>
        </w:rPr>
        <w:t>, como lo reflejan la</w:t>
      </w:r>
      <w:r w:rsidR="00B506F0" w:rsidRPr="00A74402">
        <w:rPr>
          <w:rFonts w:ascii="Times New Roman" w:hAnsi="Times New Roman" w:cs="Times New Roman"/>
          <w:sz w:val="24"/>
          <w:szCs w:val="24"/>
        </w:rPr>
        <w:t>s</w:t>
      </w:r>
      <w:r w:rsidRPr="00A74402">
        <w:rPr>
          <w:rFonts w:ascii="Times New Roman" w:hAnsi="Times New Roman" w:cs="Times New Roman"/>
          <w:sz w:val="24"/>
          <w:szCs w:val="24"/>
        </w:rPr>
        <w:t xml:space="preserve"> col</w:t>
      </w:r>
      <w:r w:rsidR="00B506F0" w:rsidRPr="00A74402">
        <w:rPr>
          <w:rFonts w:ascii="Times New Roman" w:hAnsi="Times New Roman" w:cs="Times New Roman"/>
          <w:sz w:val="24"/>
          <w:szCs w:val="24"/>
        </w:rPr>
        <w:t>umna</w:t>
      </w:r>
      <w:r w:rsidRPr="00A74402">
        <w:rPr>
          <w:rFonts w:ascii="Times New Roman" w:hAnsi="Times New Roman" w:cs="Times New Roman"/>
          <w:sz w:val="24"/>
          <w:szCs w:val="24"/>
        </w:rPr>
        <w:t xml:space="preserve">s 1 y 2. Mientras tanto, el resto de la FBKF experimentaba cambios </w:t>
      </w:r>
      <w:r w:rsidR="00E61114" w:rsidRPr="00A74402">
        <w:rPr>
          <w:rFonts w:ascii="Times New Roman" w:hAnsi="Times New Roman" w:cs="Times New Roman"/>
          <w:sz w:val="24"/>
          <w:szCs w:val="24"/>
        </w:rPr>
        <w:t>relativamente menores</w:t>
      </w:r>
      <w:r w:rsidRPr="00A74402">
        <w:rPr>
          <w:rFonts w:ascii="Times New Roman" w:hAnsi="Times New Roman" w:cs="Times New Roman"/>
          <w:sz w:val="24"/>
          <w:szCs w:val="24"/>
        </w:rPr>
        <w:t xml:space="preserve"> (col.3 y gráfico 2).</w:t>
      </w:r>
    </w:p>
    <w:p w14:paraId="723D97CB" w14:textId="5E6FAA3D" w:rsidR="0040070D" w:rsidRPr="00A74402" w:rsidRDefault="0040070D" w:rsidP="0040070D">
      <w:pPr>
        <w:ind w:firstLine="708"/>
        <w:contextualSpacing/>
        <w:rPr>
          <w:rFonts w:ascii="Times New Roman" w:hAnsi="Times New Roman" w:cs="Times New Roman"/>
          <w:sz w:val="24"/>
          <w:szCs w:val="24"/>
        </w:rPr>
      </w:pPr>
      <w:r w:rsidRPr="00A74402">
        <w:rPr>
          <w:rFonts w:ascii="Times New Roman" w:hAnsi="Times New Roman" w:cs="Times New Roman"/>
          <w:sz w:val="24"/>
          <w:szCs w:val="24"/>
        </w:rPr>
        <w:t xml:space="preserve"> Como se expone en la </w:t>
      </w:r>
      <w:r w:rsidR="00B506F0" w:rsidRPr="00A74402">
        <w:rPr>
          <w:rFonts w:ascii="Times New Roman" w:hAnsi="Times New Roman" w:cs="Times New Roman"/>
          <w:sz w:val="24"/>
          <w:szCs w:val="24"/>
        </w:rPr>
        <w:t>columna 5 (en pesos corrientes</w:t>
      </w:r>
      <w:r w:rsidR="004F6E89" w:rsidRPr="00A74402">
        <w:rPr>
          <w:rFonts w:ascii="Times New Roman" w:hAnsi="Times New Roman" w:cs="Times New Roman"/>
          <w:sz w:val="24"/>
          <w:szCs w:val="24"/>
        </w:rPr>
        <w:t>)</w:t>
      </w:r>
      <w:r w:rsidR="00B506F0" w:rsidRPr="00A74402">
        <w:rPr>
          <w:rFonts w:ascii="Times New Roman" w:hAnsi="Times New Roman" w:cs="Times New Roman"/>
          <w:sz w:val="24"/>
          <w:szCs w:val="24"/>
        </w:rPr>
        <w:t>, la participación de la minería fluct</w:t>
      </w:r>
      <w:r w:rsidR="004F6E89" w:rsidRPr="00A74402">
        <w:rPr>
          <w:rFonts w:ascii="Times New Roman" w:hAnsi="Times New Roman" w:cs="Times New Roman"/>
          <w:sz w:val="24"/>
          <w:szCs w:val="24"/>
        </w:rPr>
        <w:t>uó</w:t>
      </w:r>
      <w:r w:rsidR="00B506F0" w:rsidRPr="00A74402">
        <w:rPr>
          <w:rFonts w:ascii="Times New Roman" w:hAnsi="Times New Roman" w:cs="Times New Roman"/>
          <w:sz w:val="24"/>
          <w:szCs w:val="24"/>
        </w:rPr>
        <w:t xml:space="preserve"> fuertemente</w:t>
      </w:r>
      <w:r w:rsidR="007F106C" w:rsidRPr="00A74402">
        <w:rPr>
          <w:rFonts w:ascii="Times New Roman" w:hAnsi="Times New Roman" w:cs="Times New Roman"/>
          <w:sz w:val="24"/>
          <w:szCs w:val="24"/>
        </w:rPr>
        <w:t>; lo hizo</w:t>
      </w:r>
      <w:r w:rsidR="00B506F0" w:rsidRPr="00A74402">
        <w:rPr>
          <w:rFonts w:ascii="Times New Roman" w:hAnsi="Times New Roman" w:cs="Times New Roman"/>
          <w:sz w:val="24"/>
          <w:szCs w:val="24"/>
        </w:rPr>
        <w:t xml:space="preserve"> asociada al precio d</w:t>
      </w:r>
      <w:r w:rsidR="004F6E89" w:rsidRPr="00A74402">
        <w:rPr>
          <w:rFonts w:ascii="Times New Roman" w:hAnsi="Times New Roman" w:cs="Times New Roman"/>
          <w:sz w:val="24"/>
          <w:szCs w:val="24"/>
        </w:rPr>
        <w:t>e</w:t>
      </w:r>
      <w:r w:rsidR="00B506F0" w:rsidRPr="00A74402">
        <w:rPr>
          <w:rFonts w:ascii="Times New Roman" w:hAnsi="Times New Roman" w:cs="Times New Roman"/>
          <w:sz w:val="24"/>
          <w:szCs w:val="24"/>
        </w:rPr>
        <w:t>l cobre. En la columna 6 (serie encadenada</w:t>
      </w:r>
      <w:r w:rsidR="005561B5" w:rsidRPr="00A74402">
        <w:rPr>
          <w:rFonts w:ascii="Times New Roman" w:hAnsi="Times New Roman" w:cs="Times New Roman"/>
          <w:sz w:val="24"/>
          <w:szCs w:val="24"/>
        </w:rPr>
        <w:t xml:space="preserve"> o</w:t>
      </w:r>
      <w:r w:rsidR="00B506F0" w:rsidRPr="00A74402">
        <w:rPr>
          <w:rFonts w:ascii="Times New Roman" w:hAnsi="Times New Roman" w:cs="Times New Roman"/>
          <w:sz w:val="24"/>
          <w:szCs w:val="24"/>
        </w:rPr>
        <w:t xml:space="preserve"> </w:t>
      </w:r>
      <w:r w:rsidR="00B506F0" w:rsidRPr="00A74402">
        <w:rPr>
          <w:rFonts w:ascii="Times New Roman" w:hAnsi="Times New Roman" w:cs="Times New Roman"/>
          <w:i/>
          <w:sz w:val="24"/>
          <w:szCs w:val="24"/>
        </w:rPr>
        <w:t>rea</w:t>
      </w:r>
      <w:r w:rsidR="004F6E89" w:rsidRPr="00A74402">
        <w:rPr>
          <w:rFonts w:ascii="Times New Roman" w:hAnsi="Times New Roman" w:cs="Times New Roman"/>
          <w:i/>
          <w:sz w:val="24"/>
          <w:szCs w:val="24"/>
        </w:rPr>
        <w:t>l</w:t>
      </w:r>
      <w:r w:rsidR="00B506F0" w:rsidRPr="00A74402">
        <w:rPr>
          <w:rFonts w:ascii="Times New Roman" w:hAnsi="Times New Roman" w:cs="Times New Roman"/>
          <w:sz w:val="24"/>
          <w:szCs w:val="24"/>
        </w:rPr>
        <w:t>) se controla por ese efecto</w:t>
      </w:r>
      <w:r w:rsidR="00593C81" w:rsidRPr="00A74402">
        <w:rPr>
          <w:rFonts w:ascii="Times New Roman" w:hAnsi="Times New Roman" w:cs="Times New Roman"/>
          <w:sz w:val="24"/>
          <w:szCs w:val="24"/>
        </w:rPr>
        <w:t xml:space="preserve"> precio</w:t>
      </w:r>
      <w:r w:rsidR="00B506F0" w:rsidRPr="00A74402">
        <w:rPr>
          <w:rFonts w:ascii="Times New Roman" w:hAnsi="Times New Roman" w:cs="Times New Roman"/>
          <w:sz w:val="24"/>
          <w:szCs w:val="24"/>
        </w:rPr>
        <w:t>,  revelando una tendencia decreciente</w:t>
      </w:r>
      <w:r w:rsidR="00593C81" w:rsidRPr="00A74402">
        <w:rPr>
          <w:rFonts w:ascii="Times New Roman" w:hAnsi="Times New Roman" w:cs="Times New Roman"/>
          <w:sz w:val="24"/>
          <w:szCs w:val="24"/>
        </w:rPr>
        <w:t xml:space="preserve"> de la participación</w:t>
      </w:r>
      <w:r w:rsidRPr="00A74402">
        <w:rPr>
          <w:rFonts w:ascii="Times New Roman" w:hAnsi="Times New Roman" w:cs="Times New Roman"/>
          <w:sz w:val="24"/>
          <w:szCs w:val="24"/>
        </w:rPr>
        <w:t>,</w:t>
      </w:r>
      <w:r w:rsidR="00B506F0" w:rsidRPr="00A74402">
        <w:rPr>
          <w:rFonts w:ascii="Times New Roman" w:hAnsi="Times New Roman" w:cs="Times New Roman"/>
          <w:sz w:val="24"/>
          <w:szCs w:val="24"/>
        </w:rPr>
        <w:t xml:space="preserve"> desde 16,</w:t>
      </w:r>
      <w:r w:rsidR="003D2782" w:rsidRPr="00A74402">
        <w:rPr>
          <w:rFonts w:ascii="Times New Roman" w:hAnsi="Times New Roman" w:cs="Times New Roman"/>
          <w:sz w:val="24"/>
          <w:szCs w:val="24"/>
        </w:rPr>
        <w:t>1</w:t>
      </w:r>
      <w:r w:rsidR="00B506F0" w:rsidRPr="00A74402">
        <w:rPr>
          <w:rFonts w:ascii="Times New Roman" w:hAnsi="Times New Roman" w:cs="Times New Roman"/>
          <w:sz w:val="24"/>
          <w:szCs w:val="24"/>
        </w:rPr>
        <w:t>% del PIB en 2003-04 a 10, 9% en 2012-13 y a 10,1% en 2016-17</w:t>
      </w:r>
      <w:r w:rsidR="00EF1E9E" w:rsidRPr="00A74402">
        <w:rPr>
          <w:rFonts w:ascii="Times New Roman" w:hAnsi="Times New Roman" w:cs="Times New Roman"/>
          <w:sz w:val="24"/>
          <w:szCs w:val="24"/>
        </w:rPr>
        <w:t xml:space="preserve">; ello se </w:t>
      </w:r>
      <w:r w:rsidRPr="00A74402">
        <w:rPr>
          <w:rFonts w:ascii="Times New Roman" w:hAnsi="Times New Roman" w:cs="Times New Roman"/>
          <w:sz w:val="24"/>
          <w:szCs w:val="24"/>
        </w:rPr>
        <w:t xml:space="preserve"> deb</w:t>
      </w:r>
      <w:r w:rsidR="00EF1E9E" w:rsidRPr="00A74402">
        <w:rPr>
          <w:rFonts w:ascii="Times New Roman" w:hAnsi="Times New Roman" w:cs="Times New Roman"/>
          <w:sz w:val="24"/>
          <w:szCs w:val="24"/>
        </w:rPr>
        <w:t>e</w:t>
      </w:r>
      <w:r w:rsidRPr="00A74402">
        <w:rPr>
          <w:rFonts w:ascii="Times New Roman" w:hAnsi="Times New Roman" w:cs="Times New Roman"/>
          <w:sz w:val="24"/>
          <w:szCs w:val="24"/>
        </w:rPr>
        <w:t xml:space="preserve"> a   los rezagos entre inversión y </w:t>
      </w:r>
      <w:r w:rsidR="00B506F0" w:rsidRPr="00A74402">
        <w:rPr>
          <w:rFonts w:ascii="Times New Roman" w:hAnsi="Times New Roman" w:cs="Times New Roman"/>
          <w:sz w:val="24"/>
          <w:szCs w:val="24"/>
        </w:rPr>
        <w:t xml:space="preserve">mayor </w:t>
      </w:r>
      <w:r w:rsidRPr="00A74402">
        <w:rPr>
          <w:rFonts w:ascii="Times New Roman" w:hAnsi="Times New Roman" w:cs="Times New Roman"/>
          <w:sz w:val="24"/>
          <w:szCs w:val="24"/>
        </w:rPr>
        <w:t xml:space="preserve">producción, así como </w:t>
      </w:r>
      <w:r w:rsidR="00B506F0" w:rsidRPr="00A74402">
        <w:rPr>
          <w:rFonts w:ascii="Times New Roman" w:hAnsi="Times New Roman" w:cs="Times New Roman"/>
          <w:sz w:val="24"/>
          <w:szCs w:val="24"/>
        </w:rPr>
        <w:t xml:space="preserve">a </w:t>
      </w:r>
      <w:r w:rsidR="003D2782" w:rsidRPr="00A74402">
        <w:rPr>
          <w:rFonts w:ascii="Times New Roman" w:hAnsi="Times New Roman" w:cs="Times New Roman"/>
          <w:sz w:val="24"/>
          <w:szCs w:val="24"/>
        </w:rPr>
        <w:t xml:space="preserve">las </w:t>
      </w:r>
      <w:r w:rsidR="00B506F0" w:rsidRPr="00A74402">
        <w:rPr>
          <w:rFonts w:ascii="Times New Roman" w:hAnsi="Times New Roman" w:cs="Times New Roman"/>
          <w:sz w:val="24"/>
          <w:szCs w:val="24"/>
        </w:rPr>
        <w:t xml:space="preserve">fuertes </w:t>
      </w:r>
      <w:r w:rsidRPr="00A74402">
        <w:rPr>
          <w:rFonts w:ascii="Times New Roman" w:hAnsi="Times New Roman" w:cs="Times New Roman"/>
          <w:sz w:val="24"/>
          <w:szCs w:val="24"/>
        </w:rPr>
        <w:t xml:space="preserve">caídas en las leyes del mineral. Adicionalmente, un </w:t>
      </w:r>
      <w:r w:rsidRPr="00A74402">
        <w:rPr>
          <w:rFonts w:ascii="Times New Roman" w:hAnsi="Times New Roman" w:cs="Times New Roman"/>
          <w:sz w:val="24"/>
        </w:rPr>
        <w:t>estudio, que corrige por factores endógenos y exógenos a la operación minera, evidencia una caída de la PTF del 1% anual para el período 2000-2014 (CNP, 2017b). En este contexto, pueden identificarse dos sub-períodos en la producción minera. Primero, la época dorada de la minería chilena cuando en 1990-2003 la producción se multiplicó por 3</w:t>
      </w:r>
      <w:r w:rsidR="00E70A8D" w:rsidRPr="00A74402">
        <w:rPr>
          <w:rFonts w:ascii="Times New Roman" w:hAnsi="Times New Roman" w:cs="Times New Roman"/>
          <w:sz w:val="24"/>
        </w:rPr>
        <w:t>,</w:t>
      </w:r>
      <w:r w:rsidRPr="00A74402">
        <w:rPr>
          <w:rFonts w:ascii="Times New Roman" w:hAnsi="Times New Roman" w:cs="Times New Roman"/>
          <w:sz w:val="24"/>
        </w:rPr>
        <w:t>1 veces gracias a la puesta en marcha de 27 nuevos yacimientos. En cambio, entre 2004 y 2017, la producción de cobre sólo aumentó 3,6%.</w:t>
      </w:r>
    </w:p>
    <w:p w14:paraId="3B5A1BF2" w14:textId="316AF378" w:rsidR="0040070D" w:rsidRPr="00A74402" w:rsidRDefault="0040070D" w:rsidP="0040070D">
      <w:pPr>
        <w:ind w:firstLine="708"/>
        <w:contextualSpacing/>
        <w:rPr>
          <w:rFonts w:ascii="Times New Roman" w:hAnsi="Times New Roman" w:cs="Times New Roman"/>
          <w:sz w:val="24"/>
        </w:rPr>
      </w:pPr>
      <w:r w:rsidRPr="00A74402">
        <w:rPr>
          <w:rFonts w:ascii="Times New Roman" w:hAnsi="Times New Roman" w:cs="Times New Roman"/>
          <w:sz w:val="24"/>
          <w:szCs w:val="24"/>
        </w:rPr>
        <w:t xml:space="preserve">Son destacables los notables incrementos de la inversión en el sector minero. </w:t>
      </w:r>
      <w:r w:rsidRPr="00A74402">
        <w:rPr>
          <w:rFonts w:ascii="Times New Roman" w:hAnsi="Times New Roman" w:cs="Times New Roman"/>
          <w:sz w:val="24"/>
        </w:rPr>
        <w:t>En efecto, las exploraciones mineras de los años ochenta y noventa permitieron la explotación de casi 30 yacimientos nuevos. En efecto, un estudio de los cien yacimientos de cobre más importantes del mundo que se pusieron en marcha en 1988-2012, destaca que 29 de ellos se localizaron en Chile, con 39% de las reservas mineras mundiales. En promedio, los yacimientos chilenos presentaban sólo 50% de la ley promedio de los 71 yacimientos restantes, pero contenían cuatro veces más cobre debido a su gran tamaño. La presencia masiva de material minero en los yacimientos de Chile permitió desplegar tecnologías que maximizaron el aprovechamiento de grandes economías de escala. Por ello es que el valor presente neto (VPN) agregado de los 29 nuevos yacimientos en Chile fuese casi equivalente al VPN agregado de los restantes 71 nuevos grandes yacimientos del mundo (Dogget</w:t>
      </w:r>
      <w:r w:rsidR="00364273" w:rsidRPr="00A74402">
        <w:rPr>
          <w:rFonts w:ascii="Times New Roman" w:hAnsi="Times New Roman" w:cs="Times New Roman"/>
          <w:sz w:val="24"/>
        </w:rPr>
        <w:t xml:space="preserve">t </w:t>
      </w:r>
      <w:r w:rsidR="00D50AF6" w:rsidRPr="00A74402">
        <w:rPr>
          <w:rFonts w:ascii="Times New Roman" w:hAnsi="Times New Roman" w:cs="Times New Roman"/>
          <w:sz w:val="24"/>
        </w:rPr>
        <w:t>y</w:t>
      </w:r>
      <w:r w:rsidR="00364273" w:rsidRPr="00A74402">
        <w:rPr>
          <w:rFonts w:ascii="Times New Roman" w:hAnsi="Times New Roman" w:cs="Times New Roman"/>
          <w:sz w:val="24"/>
        </w:rPr>
        <w:t xml:space="preserve"> Leveille</w:t>
      </w:r>
      <w:r w:rsidRPr="00A74402">
        <w:rPr>
          <w:rFonts w:ascii="Times New Roman" w:hAnsi="Times New Roman" w:cs="Times New Roman"/>
          <w:sz w:val="24"/>
        </w:rPr>
        <w:t>, 2010). El grueso de estos</w:t>
      </w:r>
      <w:r w:rsidR="00E64AAD" w:rsidRPr="00A74402">
        <w:rPr>
          <w:rFonts w:ascii="Times New Roman" w:hAnsi="Times New Roman" w:cs="Times New Roman"/>
          <w:sz w:val="24"/>
        </w:rPr>
        <w:t xml:space="preserve"> </w:t>
      </w:r>
      <w:r w:rsidRPr="00A74402">
        <w:rPr>
          <w:rFonts w:ascii="Times New Roman" w:hAnsi="Times New Roman" w:cs="Times New Roman"/>
          <w:sz w:val="24"/>
        </w:rPr>
        <w:t>nuevos</w:t>
      </w:r>
      <w:r w:rsidR="00E64AAD" w:rsidRPr="00A74402">
        <w:rPr>
          <w:rFonts w:ascii="Times New Roman" w:hAnsi="Times New Roman" w:cs="Times New Roman"/>
          <w:sz w:val="24"/>
        </w:rPr>
        <w:t xml:space="preserve"> </w:t>
      </w:r>
      <w:r w:rsidRPr="00A74402">
        <w:rPr>
          <w:rFonts w:ascii="Times New Roman" w:hAnsi="Times New Roman" w:cs="Times New Roman"/>
          <w:sz w:val="24"/>
        </w:rPr>
        <w:t>yacimientos</w:t>
      </w:r>
      <w:r w:rsidR="00E64AAD" w:rsidRPr="00A74402">
        <w:rPr>
          <w:rFonts w:ascii="Times New Roman" w:hAnsi="Times New Roman" w:cs="Times New Roman"/>
          <w:sz w:val="24"/>
        </w:rPr>
        <w:t xml:space="preserve"> </w:t>
      </w:r>
      <w:r w:rsidRPr="00A74402">
        <w:rPr>
          <w:rFonts w:ascii="Times New Roman" w:hAnsi="Times New Roman" w:cs="Times New Roman"/>
          <w:sz w:val="24"/>
        </w:rPr>
        <w:t>inició sus actividades en 1990-2003, a partir del 2004 sólo hubo 2 yacimientos</w:t>
      </w:r>
      <w:r w:rsidR="00300FBB" w:rsidRPr="00A74402">
        <w:rPr>
          <w:rFonts w:ascii="Times New Roman" w:hAnsi="Times New Roman" w:cs="Times New Roman"/>
          <w:sz w:val="24"/>
        </w:rPr>
        <w:t xml:space="preserve"> nuevos</w:t>
      </w:r>
      <w:r w:rsidRPr="00A74402">
        <w:rPr>
          <w:rFonts w:ascii="Times New Roman" w:hAnsi="Times New Roman" w:cs="Times New Roman"/>
          <w:sz w:val="24"/>
        </w:rPr>
        <w:t xml:space="preserve"> tipo </w:t>
      </w:r>
      <w:r w:rsidRPr="00A74402">
        <w:rPr>
          <w:rFonts w:ascii="Times New Roman" w:hAnsi="Times New Roman" w:cs="Times New Roman"/>
          <w:i/>
          <w:sz w:val="24"/>
        </w:rPr>
        <w:t>greenfield</w:t>
      </w:r>
      <w:r w:rsidRPr="00A74402">
        <w:rPr>
          <w:rFonts w:ascii="Times New Roman" w:hAnsi="Times New Roman" w:cs="Times New Roman"/>
          <w:sz w:val="24"/>
        </w:rPr>
        <w:t xml:space="preserve"> (</w:t>
      </w:r>
      <w:r w:rsidRPr="00A74402">
        <w:rPr>
          <w:rFonts w:ascii="Times New Roman" w:hAnsi="Times New Roman" w:cs="Times New Roman"/>
          <w:sz w:val="24"/>
          <w:szCs w:val="24"/>
        </w:rPr>
        <w:t>en la literatura en inglés)</w:t>
      </w:r>
      <w:r w:rsidRPr="00A74402">
        <w:rPr>
          <w:rFonts w:ascii="Times New Roman" w:hAnsi="Times New Roman" w:cs="Times New Roman"/>
          <w:sz w:val="24"/>
        </w:rPr>
        <w:t xml:space="preserve"> </w:t>
      </w:r>
      <w:r w:rsidR="00E64AAD" w:rsidRPr="00A74402">
        <w:rPr>
          <w:rFonts w:ascii="Times New Roman" w:hAnsi="Times New Roman" w:cs="Times New Roman"/>
          <w:sz w:val="24"/>
        </w:rPr>
        <w:t xml:space="preserve">y </w:t>
      </w:r>
      <w:r w:rsidRPr="00A74402">
        <w:rPr>
          <w:rFonts w:ascii="Times New Roman" w:hAnsi="Times New Roman" w:cs="Times New Roman"/>
          <w:sz w:val="24"/>
        </w:rPr>
        <w:t>el grueso de las inversiones fue</w:t>
      </w:r>
      <w:r w:rsidR="003D2782" w:rsidRPr="00A74402">
        <w:rPr>
          <w:rFonts w:ascii="Times New Roman" w:hAnsi="Times New Roman" w:cs="Times New Roman"/>
          <w:sz w:val="24"/>
        </w:rPr>
        <w:t>ron</w:t>
      </w:r>
      <w:r w:rsidRPr="00A74402">
        <w:rPr>
          <w:rFonts w:ascii="Times New Roman" w:hAnsi="Times New Roman" w:cs="Times New Roman"/>
          <w:sz w:val="24"/>
        </w:rPr>
        <w:t xml:space="preserve"> de tipo </w:t>
      </w:r>
      <w:r w:rsidRPr="00A74402">
        <w:rPr>
          <w:rFonts w:ascii="Times New Roman" w:hAnsi="Times New Roman" w:cs="Times New Roman"/>
          <w:i/>
          <w:sz w:val="24"/>
        </w:rPr>
        <w:t>brownfield</w:t>
      </w:r>
      <w:r w:rsidRPr="00A74402">
        <w:rPr>
          <w:rFonts w:ascii="Times New Roman" w:hAnsi="Times New Roman" w:cs="Times New Roman"/>
          <w:sz w:val="24"/>
        </w:rPr>
        <w:t xml:space="preserve"> (inversiones de ampliación o reestructuración del </w:t>
      </w:r>
      <w:r w:rsidRPr="00A74402">
        <w:rPr>
          <w:rFonts w:ascii="Times New Roman" w:hAnsi="Times New Roman" w:cs="Times New Roman"/>
          <w:i/>
          <w:sz w:val="24"/>
        </w:rPr>
        <w:t>lay out</w:t>
      </w:r>
      <w:r w:rsidR="00E64AAD" w:rsidRPr="00A74402">
        <w:rPr>
          <w:rFonts w:ascii="Times New Roman" w:hAnsi="Times New Roman" w:cs="Times New Roman"/>
          <w:i/>
          <w:sz w:val="24"/>
        </w:rPr>
        <w:t xml:space="preserve"> </w:t>
      </w:r>
      <w:r w:rsidR="00E64AAD" w:rsidRPr="00A74402">
        <w:rPr>
          <w:rFonts w:ascii="Times New Roman" w:hAnsi="Times New Roman" w:cs="Times New Roman"/>
          <w:sz w:val="24"/>
        </w:rPr>
        <w:t>minero</w:t>
      </w:r>
      <w:r w:rsidR="00E70A8D" w:rsidRPr="00A74402">
        <w:rPr>
          <w:rFonts w:ascii="Times New Roman" w:hAnsi="Times New Roman" w:cs="Times New Roman"/>
          <w:sz w:val="24"/>
        </w:rPr>
        <w:t>).</w:t>
      </w:r>
    </w:p>
    <w:p w14:paraId="4636EDB5" w14:textId="2A14BE05" w:rsidR="00D663F8" w:rsidRPr="00A74402" w:rsidRDefault="0040070D" w:rsidP="0040070D">
      <w:pPr>
        <w:ind w:firstLine="708"/>
        <w:contextualSpacing/>
        <w:rPr>
          <w:rFonts w:ascii="Times New Roman" w:hAnsi="Times New Roman" w:cs="Times New Roman"/>
          <w:sz w:val="24"/>
          <w:szCs w:val="24"/>
        </w:rPr>
      </w:pPr>
      <w:r w:rsidRPr="00A74402">
        <w:rPr>
          <w:rFonts w:ascii="Times New Roman" w:hAnsi="Times New Roman" w:cs="Times New Roman"/>
          <w:sz w:val="24"/>
          <w:szCs w:val="24"/>
        </w:rPr>
        <w:t xml:space="preserve">En este contexto, </w:t>
      </w:r>
      <w:r w:rsidRPr="00A74402">
        <w:rPr>
          <w:rFonts w:ascii="Times New Roman" w:hAnsi="Times New Roman" w:cs="Times New Roman"/>
          <w:bCs/>
          <w:color w:val="222222"/>
          <w:sz w:val="24"/>
          <w:szCs w:val="24"/>
          <w:shd w:val="clear" w:color="auto" w:fill="FFFFFF"/>
        </w:rPr>
        <w:t>l</w:t>
      </w:r>
      <w:r w:rsidRPr="00A74402">
        <w:rPr>
          <w:rFonts w:ascii="Times New Roman" w:hAnsi="Times New Roman" w:cs="Times New Roman"/>
          <w:sz w:val="24"/>
          <w:szCs w:val="24"/>
        </w:rPr>
        <w:t>a inversión extranjera (IED) que había alcanzado montos reducidos durante la dictadura,</w:t>
      </w:r>
      <w:r w:rsidRPr="00A74402">
        <w:rPr>
          <w:rStyle w:val="Refdenotaalpie"/>
          <w:rFonts w:ascii="Times New Roman" w:hAnsi="Times New Roman" w:cs="Times New Roman"/>
          <w:sz w:val="24"/>
          <w:szCs w:val="24"/>
        </w:rPr>
        <w:footnoteReference w:id="8"/>
      </w:r>
      <w:r w:rsidRPr="00A74402">
        <w:rPr>
          <w:rFonts w:ascii="Times New Roman" w:hAnsi="Times New Roman" w:cs="Times New Roman"/>
          <w:sz w:val="24"/>
          <w:szCs w:val="24"/>
        </w:rPr>
        <w:t xml:space="preserve"> tomó gran fuerza en democracia</w:t>
      </w:r>
      <w:r w:rsidR="004F6E89" w:rsidRPr="00A74402">
        <w:rPr>
          <w:rFonts w:ascii="Times New Roman" w:hAnsi="Times New Roman" w:cs="Times New Roman"/>
          <w:sz w:val="24"/>
          <w:szCs w:val="24"/>
        </w:rPr>
        <w:t>. Inicialmente</w:t>
      </w:r>
      <w:r w:rsidRPr="00A74402">
        <w:rPr>
          <w:rFonts w:ascii="Times New Roman" w:hAnsi="Times New Roman" w:cs="Times New Roman"/>
          <w:sz w:val="24"/>
          <w:szCs w:val="24"/>
        </w:rPr>
        <w:t xml:space="preserve">, en particular, </w:t>
      </w:r>
      <w:r w:rsidR="004F6E89" w:rsidRPr="00A74402">
        <w:rPr>
          <w:rFonts w:ascii="Times New Roman" w:hAnsi="Times New Roman" w:cs="Times New Roman"/>
          <w:sz w:val="24"/>
          <w:szCs w:val="24"/>
        </w:rPr>
        <w:t xml:space="preserve">fue </w:t>
      </w:r>
      <w:r w:rsidRPr="00A74402">
        <w:rPr>
          <w:rFonts w:ascii="Times New Roman" w:hAnsi="Times New Roman" w:cs="Times New Roman"/>
          <w:sz w:val="24"/>
          <w:szCs w:val="24"/>
        </w:rPr>
        <w:t xml:space="preserve">la IEDN, generadora de nueva capacidad productiva. </w:t>
      </w:r>
      <w:r w:rsidR="007A6D06" w:rsidRPr="00A74402">
        <w:rPr>
          <w:rFonts w:ascii="Times New Roman" w:hAnsi="Times New Roman" w:cs="Times New Roman"/>
          <w:sz w:val="24"/>
          <w:szCs w:val="24"/>
        </w:rPr>
        <w:t>En efecto</w:t>
      </w:r>
      <w:r w:rsidRPr="00A74402">
        <w:rPr>
          <w:rFonts w:ascii="Times New Roman" w:hAnsi="Times New Roman" w:cs="Times New Roman"/>
          <w:sz w:val="24"/>
          <w:szCs w:val="24"/>
        </w:rPr>
        <w:t xml:space="preserve">, la IEDN (que, </w:t>
      </w:r>
      <w:r w:rsidR="00D663F8" w:rsidRPr="00A74402">
        <w:rPr>
          <w:rFonts w:ascii="Times New Roman" w:hAnsi="Times New Roman" w:cs="Times New Roman"/>
          <w:sz w:val="24"/>
          <w:szCs w:val="24"/>
        </w:rPr>
        <w:t>principal</w:t>
      </w:r>
      <w:r w:rsidRPr="00A74402">
        <w:rPr>
          <w:rFonts w:ascii="Times New Roman" w:hAnsi="Times New Roman" w:cs="Times New Roman"/>
          <w:sz w:val="24"/>
          <w:szCs w:val="24"/>
        </w:rPr>
        <w:t>mente, incluye la inversión de las mineras), contribuyó al fuerte crecimiento de la inversión productiva que se registró en</w:t>
      </w:r>
      <w:r w:rsidR="007A6D06" w:rsidRPr="00A74402">
        <w:rPr>
          <w:rFonts w:ascii="Times New Roman" w:hAnsi="Times New Roman" w:cs="Times New Roman"/>
          <w:sz w:val="24"/>
          <w:szCs w:val="24"/>
        </w:rPr>
        <w:t xml:space="preserve"> los noventa</w:t>
      </w:r>
      <w:r w:rsidRPr="00A74402">
        <w:rPr>
          <w:rFonts w:ascii="Times New Roman" w:hAnsi="Times New Roman" w:cs="Times New Roman"/>
          <w:sz w:val="24"/>
          <w:szCs w:val="24"/>
        </w:rPr>
        <w:t>. A pesar de su expansión, la IEDN --esto es, descontadas las adquisiciones de empresas existentes</w:t>
      </w:r>
      <w:r w:rsidR="004F6E89" w:rsidRPr="00A74402">
        <w:rPr>
          <w:rFonts w:ascii="Times New Roman" w:hAnsi="Times New Roman" w:cs="Times New Roman"/>
          <w:sz w:val="24"/>
          <w:szCs w:val="24"/>
        </w:rPr>
        <w:t xml:space="preserve"> (F&amp;A)</w:t>
      </w:r>
      <w:r w:rsidRPr="00A74402">
        <w:rPr>
          <w:rFonts w:ascii="Times New Roman" w:hAnsi="Times New Roman" w:cs="Times New Roman"/>
          <w:sz w:val="24"/>
          <w:szCs w:val="24"/>
        </w:rPr>
        <w:t xml:space="preserve">-- sólo representó el 15% de la FBKF en 1991-95 (cuadro 3, col. 7), </w:t>
      </w:r>
      <w:r w:rsidR="004F5910" w:rsidRPr="00A74402">
        <w:rPr>
          <w:rFonts w:ascii="Times New Roman" w:hAnsi="Times New Roman" w:cs="Times New Roman"/>
          <w:sz w:val="24"/>
          <w:szCs w:val="24"/>
        </w:rPr>
        <w:t xml:space="preserve">en tanto </w:t>
      </w:r>
      <w:r w:rsidRPr="00A74402">
        <w:rPr>
          <w:rFonts w:ascii="Times New Roman" w:hAnsi="Times New Roman" w:cs="Times New Roman"/>
          <w:sz w:val="24"/>
          <w:szCs w:val="24"/>
        </w:rPr>
        <w:t xml:space="preserve">que el 85% fue cubierto por inversionistas nacionales, privados y públicos, en esos años de acelerado e incluyente desarrollo. Posteriormente, la IED elevó su crecimiento, pero </w:t>
      </w:r>
      <w:r w:rsidR="007A6D06" w:rsidRPr="00A74402">
        <w:rPr>
          <w:rFonts w:ascii="Times New Roman" w:hAnsi="Times New Roman" w:cs="Times New Roman"/>
          <w:sz w:val="24"/>
          <w:szCs w:val="24"/>
        </w:rPr>
        <w:t>también</w:t>
      </w:r>
      <w:r w:rsidRPr="00A74402">
        <w:rPr>
          <w:rFonts w:ascii="Times New Roman" w:hAnsi="Times New Roman" w:cs="Times New Roman"/>
          <w:sz w:val="24"/>
          <w:szCs w:val="24"/>
        </w:rPr>
        <w:t xml:space="preserve"> se expandieron las adquisiciones de empresas nacionales existentes, en particular en los años que siguieron al contagio de la crisis asiática (ver </w:t>
      </w:r>
      <w:r w:rsidR="00C25514" w:rsidRPr="00A74402">
        <w:rPr>
          <w:rFonts w:ascii="Times New Roman" w:hAnsi="Times New Roman" w:cs="Times New Roman"/>
          <w:sz w:val="24"/>
          <w:szCs w:val="24"/>
        </w:rPr>
        <w:t xml:space="preserve">1999-2003 en </w:t>
      </w:r>
      <w:r w:rsidRPr="00A74402">
        <w:rPr>
          <w:rFonts w:ascii="Times New Roman" w:hAnsi="Times New Roman" w:cs="Times New Roman"/>
          <w:sz w:val="24"/>
          <w:szCs w:val="24"/>
        </w:rPr>
        <w:t xml:space="preserve">cols. 2 y 3). Así, </w:t>
      </w:r>
      <w:r w:rsidR="00C25514" w:rsidRPr="00A74402">
        <w:rPr>
          <w:rFonts w:ascii="Times New Roman" w:hAnsi="Times New Roman" w:cs="Times New Roman"/>
          <w:sz w:val="24"/>
          <w:szCs w:val="24"/>
        </w:rPr>
        <w:t xml:space="preserve">en el periodo recesivo de 1999-03, la IED </w:t>
      </w:r>
      <w:r w:rsidR="00D663F8" w:rsidRPr="00A74402">
        <w:rPr>
          <w:rFonts w:ascii="Times New Roman" w:hAnsi="Times New Roman" w:cs="Times New Roman"/>
          <w:sz w:val="24"/>
          <w:szCs w:val="24"/>
        </w:rPr>
        <w:t>equivalió a</w:t>
      </w:r>
      <w:r w:rsidR="00C25514" w:rsidRPr="00A74402">
        <w:rPr>
          <w:rFonts w:ascii="Times New Roman" w:hAnsi="Times New Roman" w:cs="Times New Roman"/>
          <w:sz w:val="24"/>
          <w:szCs w:val="24"/>
        </w:rPr>
        <w:t xml:space="preserve"> 40% de la FBKF y la mitad fue cubierta por F&amp;A.</w:t>
      </w:r>
    </w:p>
    <w:p w14:paraId="08E3F1F9" w14:textId="20C8DC06" w:rsidR="0040070D" w:rsidRPr="00A74402" w:rsidRDefault="00C25514" w:rsidP="0040070D">
      <w:pPr>
        <w:ind w:firstLine="708"/>
        <w:contextualSpacing/>
        <w:rPr>
          <w:rFonts w:ascii="Times New Roman" w:hAnsi="Times New Roman" w:cs="Times New Roman"/>
          <w:sz w:val="24"/>
        </w:rPr>
      </w:pPr>
      <w:r w:rsidRPr="00A74402">
        <w:rPr>
          <w:rFonts w:ascii="Times New Roman" w:hAnsi="Times New Roman" w:cs="Times New Roman"/>
          <w:sz w:val="24"/>
          <w:szCs w:val="24"/>
        </w:rPr>
        <w:t xml:space="preserve"> E</w:t>
      </w:r>
      <w:r w:rsidR="0040070D" w:rsidRPr="00A74402">
        <w:rPr>
          <w:rFonts w:ascii="Times New Roman" w:hAnsi="Times New Roman" w:cs="Times New Roman"/>
          <w:sz w:val="24"/>
          <w:szCs w:val="24"/>
        </w:rPr>
        <w:t xml:space="preserve">n el corto plazo, las F&amp;A suelen limitarse a aportar fondos líquidos, que con frecuencia son volátiles y aprecian transitoriamente el tipo de cambio o se remesan al exterior en las situaciones macroeconómicas críticas como en 1999. </w:t>
      </w:r>
    </w:p>
    <w:p w14:paraId="2BC693DB" w14:textId="77777777" w:rsidR="0040070D" w:rsidRPr="00A74402" w:rsidRDefault="0040070D" w:rsidP="0040070D">
      <w:pPr>
        <w:ind w:left="2832" w:firstLine="708"/>
        <w:contextualSpacing/>
        <w:rPr>
          <w:rFonts w:ascii="Times New Roman" w:hAnsi="Times New Roman" w:cs="Times New Roman"/>
          <w:sz w:val="24"/>
          <w:szCs w:val="24"/>
        </w:rPr>
      </w:pPr>
      <w:r w:rsidRPr="00A74402">
        <w:rPr>
          <w:rFonts w:ascii="Times New Roman" w:hAnsi="Times New Roman" w:cs="Times New Roman"/>
          <w:color w:val="FF0000"/>
          <w:sz w:val="24"/>
          <w:szCs w:val="24"/>
        </w:rPr>
        <w:t xml:space="preserve"> </w:t>
      </w:r>
      <w:r w:rsidRPr="00A74402">
        <w:rPr>
          <w:rFonts w:ascii="Times New Roman" w:hAnsi="Times New Roman" w:cs="Times New Roman"/>
          <w:sz w:val="24"/>
          <w:szCs w:val="24"/>
        </w:rPr>
        <w:t>Cuadro 3</w:t>
      </w:r>
      <w:r w:rsidRPr="00A74402">
        <w:rPr>
          <w:rFonts w:ascii="Times New Roman" w:hAnsi="Times New Roman" w:cs="Times New Roman"/>
          <w:sz w:val="24"/>
          <w:szCs w:val="24"/>
        </w:rPr>
        <w:tab/>
      </w:r>
      <w:r w:rsidRPr="00A74402">
        <w:rPr>
          <w:rFonts w:ascii="Times New Roman" w:hAnsi="Times New Roman" w:cs="Times New Roman"/>
          <w:sz w:val="24"/>
          <w:szCs w:val="24"/>
        </w:rPr>
        <w:tab/>
      </w:r>
    </w:p>
    <w:p w14:paraId="67C7ED43" w14:textId="0F61F49D" w:rsidR="0040070D" w:rsidRPr="00A74402" w:rsidRDefault="0040070D" w:rsidP="0040070D">
      <w:pPr>
        <w:pStyle w:val="Textonotapie"/>
        <w:spacing w:line="360" w:lineRule="auto"/>
        <w:ind w:firstLine="708"/>
        <w:contextualSpacing/>
        <w:rPr>
          <w:sz w:val="24"/>
          <w:szCs w:val="24"/>
          <w:lang w:val="es-CL"/>
        </w:rPr>
      </w:pPr>
      <w:r w:rsidRPr="00A74402">
        <w:rPr>
          <w:sz w:val="24"/>
          <w:szCs w:val="24"/>
          <w:lang w:val="es-CL"/>
        </w:rPr>
        <w:t>En los años siguientes, la IED continuó exhibiendo gran dinamismo. En 2008-13 los flujos de IED promediaron más de un tercio de la FBKF (col. 6).</w:t>
      </w:r>
      <w:r w:rsidRPr="00A74402">
        <w:rPr>
          <w:rStyle w:val="Refdenotaalpie"/>
          <w:sz w:val="24"/>
          <w:szCs w:val="24"/>
          <w:lang w:val="es-CL"/>
        </w:rPr>
        <w:footnoteReference w:id="9"/>
      </w:r>
      <w:r w:rsidRPr="00A74402">
        <w:rPr>
          <w:sz w:val="24"/>
          <w:szCs w:val="24"/>
          <w:lang w:val="es-CL"/>
        </w:rPr>
        <w:t xml:space="preserve"> La IED nueva fue contribuyendo crecientemente a la formación de capital (30% en el sexenio comentado). En consecuencia, fueron perdiendo participación los inversionistas nacionales tanto respecto de la IEDN como respecto al PIB.   En efecto, en ese sexenio, solo el 16</w:t>
      </w:r>
      <w:r w:rsidR="00C25514" w:rsidRPr="00A74402">
        <w:rPr>
          <w:sz w:val="24"/>
          <w:szCs w:val="24"/>
          <w:lang w:val="es-CL"/>
        </w:rPr>
        <w:t>,4</w:t>
      </w:r>
      <w:r w:rsidRPr="00A74402">
        <w:rPr>
          <w:sz w:val="24"/>
          <w:szCs w:val="24"/>
          <w:lang w:val="es-CL"/>
        </w:rPr>
        <w:t>% del PIB correspondió a formación de capital efectuada por el sector público y los privados nacionales, en contraste con 20,6% en 1991-95. A su vez, parte del stock de capital existente fue adquirido por inversionistas extranjeros: las adquisiciones comprendieron el equivalente a un 7% de la FBKF en 2004-13. Las inversiones productivas nacionales fueron perdiendo el dinamismo exhibido en los noventa, dando paso a inversiones financieras y productivas en el exterior</w:t>
      </w:r>
      <w:r w:rsidR="00E64AAD" w:rsidRPr="00A74402">
        <w:rPr>
          <w:sz w:val="24"/>
          <w:szCs w:val="24"/>
          <w:lang w:val="es-CL"/>
        </w:rPr>
        <w:t>. E</w:t>
      </w:r>
      <w:r w:rsidRPr="00A74402">
        <w:rPr>
          <w:sz w:val="24"/>
          <w:szCs w:val="24"/>
          <w:lang w:val="es-CL"/>
        </w:rPr>
        <w:t xml:space="preserve">llo </w:t>
      </w:r>
      <w:r w:rsidR="00E64AAD" w:rsidRPr="00A74402">
        <w:rPr>
          <w:sz w:val="24"/>
          <w:szCs w:val="24"/>
          <w:lang w:val="es-CL"/>
        </w:rPr>
        <w:t xml:space="preserve">fue </w:t>
      </w:r>
      <w:r w:rsidRPr="00A74402">
        <w:rPr>
          <w:sz w:val="24"/>
          <w:szCs w:val="24"/>
          <w:lang w:val="es-CL"/>
        </w:rPr>
        <w:t>acompañado de una notable lentificación de las mejoras de productividad (PTF, ver CNP, 2017a; Beltrán, 2017). En los años 201</w:t>
      </w:r>
      <w:r w:rsidR="00F85964" w:rsidRPr="00A74402">
        <w:rPr>
          <w:sz w:val="24"/>
          <w:szCs w:val="24"/>
          <w:lang w:val="es-CL"/>
        </w:rPr>
        <w:t>4</w:t>
      </w:r>
      <w:r w:rsidRPr="00A74402">
        <w:rPr>
          <w:sz w:val="24"/>
          <w:szCs w:val="24"/>
          <w:lang w:val="es-CL"/>
        </w:rPr>
        <w:t>-201</w:t>
      </w:r>
      <w:r w:rsidR="00F85964" w:rsidRPr="00A74402">
        <w:rPr>
          <w:sz w:val="24"/>
          <w:szCs w:val="24"/>
          <w:lang w:val="es-CL"/>
        </w:rPr>
        <w:t>7</w:t>
      </w:r>
      <w:r w:rsidRPr="00A74402">
        <w:rPr>
          <w:sz w:val="24"/>
          <w:szCs w:val="24"/>
          <w:lang w:val="es-CL"/>
        </w:rPr>
        <w:t xml:space="preserve">, </w:t>
      </w:r>
      <w:r w:rsidR="00F85964" w:rsidRPr="00A74402">
        <w:rPr>
          <w:sz w:val="24"/>
          <w:szCs w:val="24"/>
          <w:lang w:val="es-CL"/>
        </w:rPr>
        <w:t xml:space="preserve">la </w:t>
      </w:r>
      <w:r w:rsidR="004129C2" w:rsidRPr="00A74402">
        <w:rPr>
          <w:sz w:val="24"/>
          <w:szCs w:val="24"/>
          <w:lang w:val="es-CL"/>
        </w:rPr>
        <w:t>etapa</w:t>
      </w:r>
      <w:r w:rsidR="00F85964" w:rsidRPr="00A74402">
        <w:rPr>
          <w:sz w:val="24"/>
          <w:szCs w:val="24"/>
          <w:lang w:val="es-CL"/>
        </w:rPr>
        <w:t xml:space="preserve"> final del ciclo de inversión minera fue reforzad</w:t>
      </w:r>
      <w:r w:rsidR="001D3052" w:rsidRPr="00A74402">
        <w:rPr>
          <w:sz w:val="24"/>
          <w:szCs w:val="24"/>
          <w:lang w:val="es-CL"/>
        </w:rPr>
        <w:t>a</w:t>
      </w:r>
      <w:r w:rsidR="00F85964" w:rsidRPr="00A74402">
        <w:rPr>
          <w:sz w:val="24"/>
          <w:szCs w:val="24"/>
          <w:lang w:val="es-CL"/>
        </w:rPr>
        <w:t xml:space="preserve"> por</w:t>
      </w:r>
      <w:r w:rsidR="00654A66" w:rsidRPr="00A74402">
        <w:rPr>
          <w:sz w:val="24"/>
          <w:szCs w:val="24"/>
          <w:lang w:val="es-CL"/>
        </w:rPr>
        <w:t xml:space="preserve"> </w:t>
      </w:r>
      <w:r w:rsidRPr="00A74402">
        <w:rPr>
          <w:sz w:val="24"/>
          <w:szCs w:val="24"/>
          <w:lang w:val="es-CL"/>
        </w:rPr>
        <w:t>una fuerte caída de los precios del cobre</w:t>
      </w:r>
      <w:r w:rsidR="00E938E1" w:rsidRPr="00A74402">
        <w:rPr>
          <w:sz w:val="24"/>
          <w:szCs w:val="24"/>
          <w:lang w:val="es-CL"/>
        </w:rPr>
        <w:t>, los rendimientos decrecientes de los RRNN</w:t>
      </w:r>
      <w:r w:rsidRPr="00A74402">
        <w:rPr>
          <w:sz w:val="24"/>
          <w:szCs w:val="24"/>
          <w:lang w:val="es-CL"/>
        </w:rPr>
        <w:t xml:space="preserve"> y </w:t>
      </w:r>
      <w:r w:rsidR="00654A66" w:rsidRPr="00A74402">
        <w:rPr>
          <w:sz w:val="24"/>
          <w:szCs w:val="24"/>
          <w:lang w:val="es-CL"/>
        </w:rPr>
        <w:t>un</w:t>
      </w:r>
      <w:r w:rsidRPr="00A74402">
        <w:rPr>
          <w:sz w:val="24"/>
          <w:szCs w:val="24"/>
          <w:lang w:val="es-CL"/>
        </w:rPr>
        <w:t xml:space="preserve"> lento crecimiento de la economía chilena. </w:t>
      </w:r>
    </w:p>
    <w:p w14:paraId="41A19A36" w14:textId="09BC2EAB" w:rsidR="0040070D" w:rsidRPr="00A74402" w:rsidRDefault="0040070D" w:rsidP="0040070D">
      <w:pPr>
        <w:pStyle w:val="Textoindependiente"/>
        <w:contextualSpacing/>
        <w:rPr>
          <w:rFonts w:ascii="Times New Roman" w:hAnsi="Times New Roman"/>
          <w:sz w:val="24"/>
          <w:lang w:val="es-CL"/>
        </w:rPr>
      </w:pPr>
      <w:r w:rsidRPr="00A74402">
        <w:rPr>
          <w:rFonts w:ascii="Times New Roman" w:hAnsi="Times New Roman"/>
          <w:sz w:val="24"/>
          <w:szCs w:val="24"/>
          <w:lang w:val="es-CL"/>
        </w:rPr>
        <w:tab/>
        <w:t>La IED tiene una alta participación en los sectores exportadores e intensivos en tecnología lo que sin duda es un aporte relevante (13 de las 20 principales firmas exportadoras son extranjeras)</w:t>
      </w:r>
      <w:r w:rsidR="00E64AAD" w:rsidRPr="00A74402">
        <w:rPr>
          <w:rFonts w:ascii="Times New Roman" w:hAnsi="Times New Roman"/>
          <w:sz w:val="24"/>
          <w:szCs w:val="24"/>
          <w:lang w:val="es-CL"/>
        </w:rPr>
        <w:t>. Sin embargo, a</w:t>
      </w:r>
      <w:r w:rsidRPr="00A74402">
        <w:rPr>
          <w:rFonts w:ascii="Times New Roman" w:hAnsi="Times New Roman"/>
          <w:sz w:val="24"/>
          <w:szCs w:val="24"/>
          <w:lang w:val="es-CL"/>
        </w:rPr>
        <w:t xml:space="preserve"> pesar de su auge</w:t>
      </w:r>
      <w:r w:rsidR="00E64AAD" w:rsidRPr="00A74402">
        <w:rPr>
          <w:rFonts w:ascii="Times New Roman" w:hAnsi="Times New Roman"/>
          <w:sz w:val="24"/>
          <w:szCs w:val="24"/>
          <w:lang w:val="es-CL"/>
        </w:rPr>
        <w:t>,</w:t>
      </w:r>
      <w:r w:rsidRPr="00A74402">
        <w:rPr>
          <w:rFonts w:ascii="Times New Roman" w:hAnsi="Times New Roman"/>
          <w:sz w:val="24"/>
          <w:szCs w:val="24"/>
          <w:lang w:val="es-CL"/>
        </w:rPr>
        <w:t xml:space="preserve"> </w:t>
      </w:r>
      <w:r w:rsidR="00E64AAD" w:rsidRPr="00A74402">
        <w:rPr>
          <w:rFonts w:ascii="Times New Roman" w:hAnsi="Times New Roman"/>
          <w:sz w:val="24"/>
          <w:szCs w:val="24"/>
          <w:lang w:val="es-CL"/>
        </w:rPr>
        <w:t xml:space="preserve">la IED </w:t>
      </w:r>
      <w:r w:rsidRPr="00A74402">
        <w:rPr>
          <w:rFonts w:ascii="Times New Roman" w:hAnsi="Times New Roman"/>
          <w:sz w:val="24"/>
          <w:szCs w:val="24"/>
          <w:lang w:val="es-CL"/>
        </w:rPr>
        <w:t>sigue siendo notoriamente minoritaria en la FBKF</w:t>
      </w:r>
      <w:r w:rsidR="00E64AAD" w:rsidRPr="00A74402">
        <w:rPr>
          <w:rFonts w:ascii="Times New Roman" w:hAnsi="Times New Roman"/>
          <w:sz w:val="24"/>
          <w:szCs w:val="24"/>
          <w:lang w:val="es-CL"/>
        </w:rPr>
        <w:t>. Además,</w:t>
      </w:r>
      <w:r w:rsidRPr="00A74402">
        <w:rPr>
          <w:rFonts w:ascii="Times New Roman" w:hAnsi="Times New Roman"/>
          <w:sz w:val="24"/>
          <w:szCs w:val="24"/>
          <w:lang w:val="es-CL"/>
        </w:rPr>
        <w:t xml:space="preserve"> la trasmisión de su tecnología no es automática ni gratuita. Por ello, es necesario impulsar una activa política de atracción selectiva de la IED, tal como </w:t>
      </w:r>
      <w:r w:rsidR="002216AB" w:rsidRPr="00A74402">
        <w:rPr>
          <w:rFonts w:ascii="Times New Roman" w:hAnsi="Times New Roman"/>
          <w:sz w:val="24"/>
          <w:szCs w:val="24"/>
          <w:lang w:val="es-CL"/>
        </w:rPr>
        <w:t xml:space="preserve">entre 2015 y 2017 </w:t>
      </w:r>
      <w:r w:rsidR="00E64AAD" w:rsidRPr="00A74402">
        <w:rPr>
          <w:rFonts w:ascii="Times New Roman" w:hAnsi="Times New Roman"/>
          <w:sz w:val="24"/>
          <w:szCs w:val="24"/>
          <w:lang w:val="es-CL"/>
        </w:rPr>
        <w:t xml:space="preserve">lo hizo </w:t>
      </w:r>
      <w:r w:rsidR="002216AB" w:rsidRPr="00A74402">
        <w:rPr>
          <w:rFonts w:ascii="Times New Roman" w:hAnsi="Times New Roman"/>
          <w:sz w:val="24"/>
          <w:szCs w:val="24"/>
          <w:lang w:val="es-CL"/>
        </w:rPr>
        <w:t>la Agencia Promoción de la Inversión Extranjera (2017)</w:t>
      </w:r>
      <w:r w:rsidRPr="00A74402">
        <w:rPr>
          <w:rFonts w:ascii="Times New Roman" w:hAnsi="Times New Roman"/>
          <w:sz w:val="24"/>
          <w:lang w:val="es-CL"/>
        </w:rPr>
        <w:t xml:space="preserve">. </w:t>
      </w:r>
    </w:p>
    <w:p w14:paraId="4853655A" w14:textId="7D318211" w:rsidR="0040070D" w:rsidRPr="00A74402" w:rsidRDefault="0040070D" w:rsidP="0040070D">
      <w:pPr>
        <w:autoSpaceDE w:val="0"/>
        <w:autoSpaceDN w:val="0"/>
        <w:adjustRightInd w:val="0"/>
        <w:ind w:firstLine="708"/>
        <w:contextualSpacing/>
        <w:rPr>
          <w:rFonts w:ascii="Times New Roman" w:hAnsi="Times New Roman" w:cs="Times New Roman"/>
          <w:sz w:val="24"/>
        </w:rPr>
      </w:pPr>
      <w:r w:rsidRPr="00A74402">
        <w:rPr>
          <w:rFonts w:ascii="Times New Roman" w:hAnsi="Times New Roman" w:cs="Times New Roman"/>
          <w:sz w:val="24"/>
          <w:szCs w:val="24"/>
        </w:rPr>
        <w:t>Hasta ahora nos hemos referido a los flujos de inversión en precios corrientes.</w:t>
      </w:r>
      <w:r w:rsidRPr="00A74402">
        <w:rPr>
          <w:rFonts w:ascii="Times New Roman" w:hAnsi="Times New Roman" w:cs="Times New Roman"/>
          <w:sz w:val="24"/>
        </w:rPr>
        <w:t xml:space="preserve"> La evolución de la capacidad de producción está vinculada con el stock de capital </w:t>
      </w:r>
      <w:r w:rsidR="00F85964" w:rsidRPr="00A74402">
        <w:rPr>
          <w:rFonts w:ascii="Times New Roman" w:hAnsi="Times New Roman" w:cs="Times New Roman"/>
          <w:sz w:val="24"/>
        </w:rPr>
        <w:t xml:space="preserve">(SK) </w:t>
      </w:r>
      <w:r w:rsidRPr="00A74402">
        <w:rPr>
          <w:rFonts w:ascii="Times New Roman" w:hAnsi="Times New Roman" w:cs="Times New Roman"/>
          <w:sz w:val="24"/>
        </w:rPr>
        <w:t xml:space="preserve">en moneda comparable inter-temporalmente. Así, pueden sumarse los flujos de inversión </w:t>
      </w:r>
      <w:r w:rsidR="008D63FC" w:rsidRPr="00A74402">
        <w:rPr>
          <w:rFonts w:ascii="Times New Roman" w:hAnsi="Times New Roman" w:cs="Times New Roman"/>
          <w:sz w:val="24"/>
        </w:rPr>
        <w:t xml:space="preserve">bruta </w:t>
      </w:r>
      <w:r w:rsidRPr="00A74402">
        <w:rPr>
          <w:rFonts w:ascii="Times New Roman" w:hAnsi="Times New Roman" w:cs="Times New Roman"/>
          <w:sz w:val="24"/>
        </w:rPr>
        <w:t xml:space="preserve">de diferentes años. Junto con ello, es preciso considerar la evolución de la depreciación </w:t>
      </w:r>
      <w:r w:rsidR="00F85964" w:rsidRPr="00A74402">
        <w:rPr>
          <w:rFonts w:ascii="Times New Roman" w:hAnsi="Times New Roman" w:cs="Times New Roman"/>
          <w:sz w:val="24"/>
        </w:rPr>
        <w:t xml:space="preserve">(DK) </w:t>
      </w:r>
      <w:r w:rsidRPr="00A74402">
        <w:rPr>
          <w:rFonts w:ascii="Times New Roman" w:hAnsi="Times New Roman" w:cs="Times New Roman"/>
          <w:sz w:val="24"/>
        </w:rPr>
        <w:t>a través del período analizado. SK y DK son calculados por el Banco Central en moneda constante (ver Henríquez, 2008 y sucesivas actualizaciones del BC). El cuadro 4, col. (2) muestra las variaciones que ha experimentado la DK. Inicialmente, disminuyó como proporción del PIB (que es un flujo) gracias al fuerte incremento de éste</w:t>
      </w:r>
      <w:r w:rsidR="00E64AAD" w:rsidRPr="00A74402">
        <w:rPr>
          <w:rFonts w:ascii="Times New Roman" w:hAnsi="Times New Roman" w:cs="Times New Roman"/>
          <w:sz w:val="24"/>
        </w:rPr>
        <w:t xml:space="preserve">, que fue </w:t>
      </w:r>
      <w:r w:rsidRPr="00A74402">
        <w:rPr>
          <w:rFonts w:ascii="Times New Roman" w:hAnsi="Times New Roman" w:cs="Times New Roman"/>
          <w:sz w:val="24"/>
        </w:rPr>
        <w:t>de 7% anual en los años 90s</w:t>
      </w:r>
      <w:r w:rsidR="008D63FC" w:rsidRPr="00A74402">
        <w:rPr>
          <w:rFonts w:ascii="Times New Roman" w:hAnsi="Times New Roman" w:cs="Times New Roman"/>
          <w:sz w:val="24"/>
        </w:rPr>
        <w:t>,</w:t>
      </w:r>
      <w:r w:rsidRPr="00A74402">
        <w:rPr>
          <w:rFonts w:ascii="Times New Roman" w:hAnsi="Times New Roman" w:cs="Times New Roman"/>
          <w:sz w:val="24"/>
        </w:rPr>
        <w:t xml:space="preserve"> mientras que la DK aumentaba más lento porque depende de la acumulación de</w:t>
      </w:r>
      <w:r w:rsidR="000B6F4F" w:rsidRPr="00A74402">
        <w:rPr>
          <w:rFonts w:ascii="Times New Roman" w:hAnsi="Times New Roman" w:cs="Times New Roman"/>
          <w:sz w:val="24"/>
        </w:rPr>
        <w:t>l stock de capital productivo</w:t>
      </w:r>
      <w:r w:rsidRPr="00A74402">
        <w:rPr>
          <w:rFonts w:ascii="Times New Roman" w:hAnsi="Times New Roman" w:cs="Times New Roman"/>
          <w:sz w:val="24"/>
        </w:rPr>
        <w:t xml:space="preserve">. Posteriormente, el coeficiente se elevó desde fines de los noventa lo que fue liderado por el acortamiento de la vida útil de los activos productivos, hecho principalmente ligado a la innovación tecnológica, a la pérdida de calidad de los recursos naturales y a la globalización de la volatilidad financiera que incrementa la obsolescencia de activos productivos.  </w:t>
      </w:r>
    </w:p>
    <w:p w14:paraId="4263FDF2" w14:textId="77777777" w:rsidR="0040070D" w:rsidRPr="00A74402" w:rsidRDefault="0040070D" w:rsidP="0040070D">
      <w:pPr>
        <w:autoSpaceDE w:val="0"/>
        <w:autoSpaceDN w:val="0"/>
        <w:adjustRightInd w:val="0"/>
        <w:ind w:firstLine="708"/>
        <w:contextualSpacing/>
        <w:rPr>
          <w:rFonts w:ascii="Times New Roman" w:hAnsi="Times New Roman" w:cs="Times New Roman"/>
          <w:sz w:val="24"/>
        </w:rPr>
      </w:pPr>
      <w:r w:rsidRPr="00A74402">
        <w:rPr>
          <w:rFonts w:ascii="Times New Roman" w:hAnsi="Times New Roman" w:cs="Times New Roman"/>
          <w:sz w:val="24"/>
        </w:rPr>
        <w:tab/>
      </w:r>
      <w:r w:rsidRPr="00A74402">
        <w:rPr>
          <w:rFonts w:ascii="Times New Roman" w:hAnsi="Times New Roman" w:cs="Times New Roman"/>
          <w:sz w:val="24"/>
        </w:rPr>
        <w:tab/>
      </w:r>
      <w:r w:rsidRPr="00A74402">
        <w:rPr>
          <w:rFonts w:ascii="Times New Roman" w:hAnsi="Times New Roman" w:cs="Times New Roman"/>
          <w:sz w:val="24"/>
        </w:rPr>
        <w:tab/>
      </w:r>
      <w:r w:rsidRPr="00A74402">
        <w:rPr>
          <w:rFonts w:ascii="Times New Roman" w:hAnsi="Times New Roman" w:cs="Times New Roman"/>
          <w:sz w:val="24"/>
        </w:rPr>
        <w:tab/>
        <w:t>Cuadro 4</w:t>
      </w:r>
    </w:p>
    <w:p w14:paraId="1111F500" w14:textId="1F70427C" w:rsidR="0040070D" w:rsidRPr="00A74402" w:rsidRDefault="0040070D" w:rsidP="0040070D">
      <w:pPr>
        <w:ind w:firstLine="709"/>
        <w:contextualSpacing/>
        <w:rPr>
          <w:rFonts w:ascii="Times New Roman" w:hAnsi="Times New Roman" w:cs="Times New Roman"/>
          <w:sz w:val="24"/>
          <w:szCs w:val="24"/>
        </w:rPr>
      </w:pPr>
      <w:r w:rsidRPr="00A74402">
        <w:rPr>
          <w:rFonts w:ascii="Times New Roman" w:hAnsi="Times New Roman" w:cs="Times New Roman"/>
          <w:sz w:val="24"/>
          <w:szCs w:val="24"/>
        </w:rPr>
        <w:t>En efecto, en los años más recientes se registra una tendencia creciente de la DK como proporción del stock de capital y del PIB, elevándose desde 8% del PIB hasta 13%</w:t>
      </w:r>
      <w:r w:rsidR="00B64E7C" w:rsidRPr="00A74402">
        <w:rPr>
          <w:rFonts w:ascii="Times New Roman" w:hAnsi="Times New Roman" w:cs="Times New Roman"/>
          <w:sz w:val="24"/>
          <w:szCs w:val="24"/>
        </w:rPr>
        <w:t xml:space="preserve"> del PIB</w:t>
      </w:r>
      <w:r w:rsidRPr="00A74402">
        <w:rPr>
          <w:rFonts w:ascii="Times New Roman" w:hAnsi="Times New Roman" w:cs="Times New Roman"/>
          <w:sz w:val="24"/>
          <w:szCs w:val="24"/>
        </w:rPr>
        <w:t xml:space="preserve">, lo que constituye una proporción muy elevada de la inversión bruta. La FBKF es la cifra regularmente publicada y comentada. </w:t>
      </w:r>
    </w:p>
    <w:p w14:paraId="43C74F52" w14:textId="128B09C8" w:rsidR="0040070D" w:rsidRPr="00A74402" w:rsidRDefault="0040070D" w:rsidP="0040070D">
      <w:pPr>
        <w:ind w:firstLine="708"/>
        <w:contextualSpacing/>
        <w:rPr>
          <w:rFonts w:ascii="Times New Roman" w:hAnsi="Times New Roman" w:cs="Times New Roman"/>
          <w:sz w:val="24"/>
          <w:szCs w:val="24"/>
        </w:rPr>
      </w:pPr>
      <w:r w:rsidRPr="00A74402">
        <w:rPr>
          <w:rFonts w:ascii="Times New Roman" w:hAnsi="Times New Roman" w:cs="Times New Roman"/>
          <w:sz w:val="24"/>
          <w:szCs w:val="24"/>
        </w:rPr>
        <w:t>Según estos antecedentes</w:t>
      </w:r>
      <w:r w:rsidR="000B6F4F" w:rsidRPr="00A74402">
        <w:rPr>
          <w:rFonts w:ascii="Times New Roman" w:hAnsi="Times New Roman" w:cs="Times New Roman"/>
          <w:sz w:val="24"/>
          <w:szCs w:val="24"/>
        </w:rPr>
        <w:t xml:space="preserve"> sobre la DK</w:t>
      </w:r>
      <w:r w:rsidRPr="00A74402">
        <w:rPr>
          <w:rFonts w:ascii="Times New Roman" w:hAnsi="Times New Roman" w:cs="Times New Roman"/>
          <w:sz w:val="24"/>
          <w:szCs w:val="24"/>
        </w:rPr>
        <w:t>, la inversión neta promedió cerca de 10% del PIB en la década de los 60s, para caer significativamente en 1974-89, promediando apenas 4,7% (col. 3). Allí reside una causa central del mediocre 2,9% de aumento anual del PIB, por debajo del registro en los anteriores 60s, de 4,6% entre los peaks de 196</w:t>
      </w:r>
      <w:r w:rsidR="00D74B56" w:rsidRPr="00A74402">
        <w:rPr>
          <w:rFonts w:ascii="Times New Roman" w:hAnsi="Times New Roman" w:cs="Times New Roman"/>
          <w:sz w:val="24"/>
          <w:szCs w:val="24"/>
        </w:rPr>
        <w:t>1</w:t>
      </w:r>
      <w:r w:rsidRPr="00A74402">
        <w:rPr>
          <w:rFonts w:ascii="Times New Roman" w:hAnsi="Times New Roman" w:cs="Times New Roman"/>
          <w:sz w:val="24"/>
          <w:szCs w:val="24"/>
        </w:rPr>
        <w:t xml:space="preserve"> y 1971. Ya retornados a la democracia, durante 1990-98, el coeficiente de FNKF se elevó a 14% sustentando un crecimiento del PIB de 7</w:t>
      </w:r>
      <w:r w:rsidR="00946DF3" w:rsidRPr="00A74402">
        <w:rPr>
          <w:rFonts w:ascii="Times New Roman" w:hAnsi="Times New Roman" w:cs="Times New Roman"/>
          <w:sz w:val="24"/>
          <w:szCs w:val="24"/>
        </w:rPr>
        <w:t>,1</w:t>
      </w:r>
      <w:r w:rsidRPr="00A74402">
        <w:rPr>
          <w:rFonts w:ascii="Times New Roman" w:hAnsi="Times New Roman" w:cs="Times New Roman"/>
          <w:sz w:val="24"/>
          <w:szCs w:val="24"/>
        </w:rPr>
        <w:t>%, acentuando la correlación positiva entre SK y crecimiento del PIB. Posteriormente, la FNKF se redujo moderadamente en tanto que el crecimiento del PIB disminuyó fuertemente, desde 7,1% a 3,</w:t>
      </w:r>
      <w:r w:rsidR="00B64E7C" w:rsidRPr="00A74402">
        <w:rPr>
          <w:rFonts w:ascii="Times New Roman" w:hAnsi="Times New Roman" w:cs="Times New Roman"/>
          <w:sz w:val="24"/>
          <w:szCs w:val="24"/>
        </w:rPr>
        <w:t>9</w:t>
      </w:r>
      <w:r w:rsidRPr="00A74402">
        <w:rPr>
          <w:rFonts w:ascii="Times New Roman" w:hAnsi="Times New Roman" w:cs="Times New Roman"/>
          <w:sz w:val="24"/>
          <w:szCs w:val="24"/>
        </w:rPr>
        <w:t>% entre 1990-98 y 1999-2013.</w:t>
      </w:r>
    </w:p>
    <w:p w14:paraId="7E7C16CF" w14:textId="366146F2" w:rsidR="0040070D" w:rsidRPr="00A74402" w:rsidRDefault="0040070D" w:rsidP="0040070D">
      <w:pPr>
        <w:autoSpaceDE w:val="0"/>
        <w:autoSpaceDN w:val="0"/>
        <w:adjustRightInd w:val="0"/>
        <w:ind w:firstLine="708"/>
        <w:contextualSpacing/>
        <w:rPr>
          <w:rFonts w:ascii="Times New Roman" w:hAnsi="Times New Roman" w:cs="Times New Roman"/>
          <w:sz w:val="24"/>
          <w:szCs w:val="24"/>
        </w:rPr>
      </w:pPr>
      <w:r w:rsidRPr="00A74402">
        <w:rPr>
          <w:rFonts w:ascii="Times New Roman" w:hAnsi="Times New Roman" w:cs="Times New Roman"/>
          <w:sz w:val="24"/>
          <w:szCs w:val="24"/>
        </w:rPr>
        <w:t>Est</w:t>
      </w:r>
      <w:r w:rsidR="006D2308" w:rsidRPr="00A74402">
        <w:rPr>
          <w:rFonts w:ascii="Times New Roman" w:hAnsi="Times New Roman" w:cs="Times New Roman"/>
          <w:sz w:val="24"/>
          <w:szCs w:val="24"/>
        </w:rPr>
        <w:t xml:space="preserve">a relación cambiante </w:t>
      </w:r>
      <w:r w:rsidRPr="00A74402">
        <w:rPr>
          <w:rFonts w:ascii="Times New Roman" w:hAnsi="Times New Roman" w:cs="Times New Roman"/>
          <w:sz w:val="24"/>
          <w:szCs w:val="24"/>
        </w:rPr>
        <w:t>e</w:t>
      </w:r>
      <w:r w:rsidR="006D2308" w:rsidRPr="00A74402">
        <w:rPr>
          <w:rFonts w:ascii="Times New Roman" w:hAnsi="Times New Roman" w:cs="Times New Roman"/>
          <w:sz w:val="24"/>
          <w:szCs w:val="24"/>
        </w:rPr>
        <w:t>ntre FNKF y crecimiento</w:t>
      </w:r>
      <w:r w:rsidRPr="00A74402">
        <w:rPr>
          <w:rFonts w:ascii="Times New Roman" w:hAnsi="Times New Roman" w:cs="Times New Roman"/>
          <w:sz w:val="24"/>
          <w:szCs w:val="24"/>
        </w:rPr>
        <w:t xml:space="preserve"> involucra tres explicaciones complementarias.  La primera se refiere a cambios en los precios relativos. En efecto, las Cuentas Nacionales registran una evolución divergente entre los índices deflactores del PIB y de maquinarias y equipos. Mientras el deflactor de M&amp;E cayó 3% entre 1996 y 2015, el del PIB más que se duplicó en ese período (ver Ffrench-Davis y Vivanco, 2016).</w:t>
      </w:r>
      <w:r w:rsidRPr="00A74402">
        <w:rPr>
          <w:rStyle w:val="Refdenotaalpie"/>
          <w:rFonts w:ascii="Times New Roman" w:hAnsi="Times New Roman" w:cs="Times New Roman"/>
          <w:sz w:val="24"/>
          <w:szCs w:val="24"/>
        </w:rPr>
        <w:footnoteReference w:id="10"/>
      </w:r>
      <w:r w:rsidRPr="00A74402">
        <w:rPr>
          <w:rFonts w:ascii="Times New Roman" w:hAnsi="Times New Roman" w:cs="Times New Roman"/>
          <w:sz w:val="24"/>
          <w:szCs w:val="24"/>
        </w:rPr>
        <w:t xml:space="preserve"> Esto genera una fuerte caída en los precios relativos de los bienes de capital respecto a los otros componentes del PIB y provoca una divergencia notable entre cifras constantes y corrientes. </w:t>
      </w:r>
    </w:p>
    <w:p w14:paraId="58219C90" w14:textId="69FACAF2" w:rsidR="0040070D" w:rsidRPr="00A74402" w:rsidRDefault="0040070D" w:rsidP="006D2308">
      <w:pPr>
        <w:autoSpaceDE w:val="0"/>
        <w:autoSpaceDN w:val="0"/>
        <w:adjustRightInd w:val="0"/>
        <w:ind w:firstLine="708"/>
        <w:contextualSpacing/>
        <w:rPr>
          <w:rFonts w:ascii="Times New Roman" w:hAnsi="Times New Roman" w:cs="Times New Roman"/>
          <w:sz w:val="24"/>
          <w:szCs w:val="24"/>
        </w:rPr>
      </w:pPr>
      <w:r w:rsidRPr="00A74402">
        <w:rPr>
          <w:rFonts w:ascii="Times New Roman" w:hAnsi="Times New Roman" w:cs="Times New Roman"/>
          <w:sz w:val="24"/>
          <w:szCs w:val="24"/>
        </w:rPr>
        <w:t xml:space="preserve">La segunda causa se refiere a las inversiones mineras que tienen gran participación en la FBKF. Como se expuso y el cuadro 2 lo ilustró, la inversión minera experimentó una significativa elevación, pero ésta aún no ha madurado plenamente y una parte se limita a reemplazar la capacidad declinante de yacimientos antiguos, por lo cual no se refleja en un aumento equivalente del PIB potencial (PIB*).  Y como tercera causa, hay que señalar el deterioro del entorno macroeconómico que fue notorio desde 1999, con persistentes brechas entre PIB* y PIB efectivo (brecha del producto, o brecha recesiva como la denominamos). </w:t>
      </w:r>
    </w:p>
    <w:p w14:paraId="7875677A" w14:textId="7B030582" w:rsidR="0040070D" w:rsidRPr="00A74402" w:rsidRDefault="0040070D" w:rsidP="0040070D">
      <w:pPr>
        <w:ind w:firstLine="708"/>
        <w:contextualSpacing/>
        <w:rPr>
          <w:rFonts w:ascii="Times New Roman" w:hAnsi="Times New Roman" w:cs="Times New Roman"/>
          <w:sz w:val="24"/>
          <w:szCs w:val="24"/>
        </w:rPr>
      </w:pPr>
      <w:r w:rsidRPr="00A74402">
        <w:rPr>
          <w:rFonts w:ascii="Times New Roman" w:hAnsi="Times New Roman" w:cs="Times New Roman"/>
          <w:sz w:val="24"/>
          <w:szCs w:val="24"/>
        </w:rPr>
        <w:t xml:space="preserve">Antes de terminar esta sub-sección, retornamos a la estimación del stock de capital productivo efectuada por el Banco Central en moneda constante de 2013, para examinar cómo ha evolucionado en relación con la fuerza de trabajo (FT). El gráfico 3 muestra que el coeficiente se deterioró durante la dictadura ante la mediocre tasa de inversión y un fuerte aumento de la FT. En los noventa se inició un persistente </w:t>
      </w:r>
      <w:r w:rsidR="005F52A3" w:rsidRPr="00A74402">
        <w:rPr>
          <w:rFonts w:ascii="Times New Roman" w:hAnsi="Times New Roman" w:cs="Times New Roman"/>
          <w:sz w:val="24"/>
          <w:szCs w:val="24"/>
        </w:rPr>
        <w:t>incremento</w:t>
      </w:r>
      <w:r w:rsidRPr="00A74402">
        <w:rPr>
          <w:rFonts w:ascii="Times New Roman" w:hAnsi="Times New Roman" w:cs="Times New Roman"/>
          <w:sz w:val="24"/>
          <w:szCs w:val="24"/>
        </w:rPr>
        <w:t xml:space="preserve"> que respalda los importantes aumentos de salarios en ese decenio, con un continuado crecimiento del coeficiente SK/FT en los años siguientes, aunque acompañado de alzas menores de los salarios.  </w:t>
      </w:r>
    </w:p>
    <w:p w14:paraId="13570E8C" w14:textId="28F0021A" w:rsidR="00A94239" w:rsidRDefault="0040070D" w:rsidP="00A74402">
      <w:pPr>
        <w:ind w:left="2124" w:firstLine="708"/>
        <w:contextualSpacing/>
        <w:rPr>
          <w:rFonts w:ascii="Times New Roman" w:hAnsi="Times New Roman" w:cs="Times New Roman"/>
          <w:sz w:val="24"/>
          <w:szCs w:val="24"/>
        </w:rPr>
      </w:pPr>
      <w:r w:rsidRPr="00A74402">
        <w:rPr>
          <w:rFonts w:ascii="Times New Roman" w:hAnsi="Times New Roman" w:cs="Times New Roman"/>
          <w:sz w:val="24"/>
          <w:szCs w:val="24"/>
        </w:rPr>
        <w:t xml:space="preserve">         Gráfico 3</w:t>
      </w:r>
    </w:p>
    <w:p w14:paraId="1A8D6043" w14:textId="77777777" w:rsidR="00A74402" w:rsidRPr="00A74402" w:rsidRDefault="00A74402" w:rsidP="00A74402">
      <w:pPr>
        <w:ind w:left="2124" w:firstLine="708"/>
        <w:contextualSpacing/>
        <w:rPr>
          <w:rFonts w:ascii="Times New Roman" w:hAnsi="Times New Roman" w:cs="Times New Roman"/>
          <w:sz w:val="24"/>
          <w:szCs w:val="24"/>
        </w:rPr>
      </w:pPr>
    </w:p>
    <w:p w14:paraId="1B468234" w14:textId="77777777" w:rsidR="0040070D" w:rsidRPr="00A74402" w:rsidRDefault="0040070D" w:rsidP="0040070D">
      <w:pPr>
        <w:contextualSpacing/>
        <w:rPr>
          <w:rFonts w:ascii="Times New Roman" w:hAnsi="Times New Roman" w:cs="Times New Roman"/>
          <w:b/>
          <w:i/>
          <w:iCs/>
          <w:sz w:val="28"/>
          <w:szCs w:val="28"/>
        </w:rPr>
      </w:pPr>
      <w:r w:rsidRPr="00A74402">
        <w:rPr>
          <w:rFonts w:ascii="Times New Roman" w:hAnsi="Times New Roman" w:cs="Times New Roman"/>
          <w:b/>
          <w:i/>
          <w:iCs/>
          <w:sz w:val="28"/>
          <w:szCs w:val="28"/>
        </w:rPr>
        <w:t>b) Entorno macroeconómico y la tasa de inversión</w:t>
      </w:r>
    </w:p>
    <w:p w14:paraId="71D9085A" w14:textId="54587CFA" w:rsidR="0040070D" w:rsidRPr="00A74402" w:rsidRDefault="0040070D" w:rsidP="0040070D">
      <w:pPr>
        <w:pStyle w:val="Textoindependiente"/>
        <w:widowControl/>
        <w:contextualSpacing/>
        <w:rPr>
          <w:rFonts w:ascii="Times New Roman" w:hAnsi="Times New Roman"/>
          <w:sz w:val="24"/>
          <w:lang w:val="es-CL"/>
        </w:rPr>
      </w:pPr>
      <w:r w:rsidRPr="00A74402">
        <w:rPr>
          <w:rFonts w:ascii="Times New Roman" w:hAnsi="Times New Roman"/>
          <w:snapToGrid/>
          <w:sz w:val="24"/>
          <w:lang w:val="es-CL"/>
        </w:rPr>
        <w:tab/>
        <w:t xml:space="preserve">El coeficiente de inversión ha fluctuado significativamente, respondiendo fuertemente a </w:t>
      </w:r>
      <w:r w:rsidR="002B06FA" w:rsidRPr="00A74402">
        <w:rPr>
          <w:rFonts w:ascii="Times New Roman" w:hAnsi="Times New Roman"/>
          <w:snapToGrid/>
          <w:sz w:val="24"/>
          <w:lang w:val="es-CL"/>
        </w:rPr>
        <w:t>desequilibrios</w:t>
      </w:r>
      <w:r w:rsidRPr="00A74402">
        <w:rPr>
          <w:rFonts w:ascii="Times New Roman" w:hAnsi="Times New Roman"/>
          <w:snapToGrid/>
          <w:sz w:val="24"/>
          <w:lang w:val="es-CL"/>
        </w:rPr>
        <w:t xml:space="preserve"> en el entorno macroeconómico. En especial</w:t>
      </w:r>
      <w:r w:rsidR="00DD6EF2" w:rsidRPr="00A74402">
        <w:rPr>
          <w:rFonts w:ascii="Times New Roman" w:hAnsi="Times New Roman"/>
          <w:snapToGrid/>
          <w:sz w:val="24"/>
          <w:lang w:val="es-CL"/>
        </w:rPr>
        <w:t>,</w:t>
      </w:r>
      <w:r w:rsidRPr="00A74402">
        <w:rPr>
          <w:rFonts w:ascii="Times New Roman" w:hAnsi="Times New Roman"/>
          <w:snapToGrid/>
          <w:sz w:val="24"/>
          <w:lang w:val="es-CL"/>
        </w:rPr>
        <w:t xml:space="preserve"> nos referimos a</w:t>
      </w:r>
      <w:r w:rsidRPr="00A74402">
        <w:rPr>
          <w:rFonts w:ascii="Times New Roman" w:hAnsi="Times New Roman"/>
          <w:sz w:val="24"/>
          <w:lang w:val="es-CL"/>
        </w:rPr>
        <w:t xml:space="preserve"> la recién mencionada brecha recesiva (BR)</w:t>
      </w:r>
      <w:r w:rsidR="002B06FA" w:rsidRPr="00A74402">
        <w:rPr>
          <w:rFonts w:ascii="Times New Roman" w:hAnsi="Times New Roman"/>
          <w:sz w:val="24"/>
          <w:lang w:val="es-CL"/>
        </w:rPr>
        <w:t xml:space="preserve"> y a desequilibrios en las cuentas externas asociadas a apreciaciones pro-cíclicas cambiarias; es lo que denominamos desequilibrios de la macroeconomía real, más allá de los desequilibrios inflacionarios</w:t>
      </w:r>
      <w:r w:rsidRPr="00A74402">
        <w:rPr>
          <w:rFonts w:ascii="Times New Roman" w:hAnsi="Times New Roman"/>
          <w:sz w:val="24"/>
          <w:lang w:val="es-CL"/>
        </w:rPr>
        <w:t>.</w:t>
      </w:r>
      <w:r w:rsidRPr="00A74402">
        <w:rPr>
          <w:rFonts w:ascii="Times New Roman" w:hAnsi="Times New Roman"/>
          <w:snapToGrid/>
          <w:sz w:val="24"/>
          <w:lang w:val="es-CL"/>
        </w:rPr>
        <w:t xml:space="preserve"> L</w:t>
      </w:r>
      <w:r w:rsidRPr="00A74402">
        <w:rPr>
          <w:rFonts w:ascii="Times New Roman" w:hAnsi="Times New Roman"/>
          <w:sz w:val="24"/>
          <w:lang w:val="es-CL"/>
        </w:rPr>
        <w:t xml:space="preserve">a tasa de utilización del </w:t>
      </w:r>
      <w:r w:rsidR="009D1D37" w:rsidRPr="00A74402">
        <w:rPr>
          <w:rFonts w:ascii="Times New Roman" w:hAnsi="Times New Roman"/>
          <w:sz w:val="24"/>
          <w:lang w:val="es-CL"/>
        </w:rPr>
        <w:t>PIB</w:t>
      </w:r>
      <w:r w:rsidRPr="00A74402">
        <w:rPr>
          <w:rFonts w:ascii="Times New Roman" w:hAnsi="Times New Roman"/>
          <w:sz w:val="24"/>
          <w:lang w:val="es-CL"/>
        </w:rPr>
        <w:t xml:space="preserve"> potencial posee una influencia muy intensa sobre el nivel de la formación de capital  a través de cuatro efectos: (i) sobre la productividad efectiva (una BR implica una diferencia entre la productividad efectiva y la productividad potencial o estructural); (ii) sobre las utilidades efectivas y posibilidades de auto-financiamiento vía reinversión; (iii) sobre el acceso a los mercados de capitales; (iv) sobre las expectativas empresariales de inversión, dado que si la capacidad productiva existente está subutilizada y se espera que continúe así por un tiempo, entonces su expansión por parte de inversionistas potenciales en las mismas actividades pierde sentido y la inversión en nuevos rubros y la llegada de nuevos emprendedores son desestimuladas por un ambiente deprimido</w:t>
      </w:r>
      <w:r w:rsidR="00DD6EF2" w:rsidRPr="00A74402">
        <w:rPr>
          <w:rFonts w:ascii="Times New Roman" w:hAnsi="Times New Roman"/>
          <w:sz w:val="24"/>
          <w:lang w:val="es-CL"/>
        </w:rPr>
        <w:t xml:space="preserve"> por recurrentes desequilibrios de la macroeconomía real</w:t>
      </w:r>
      <w:r w:rsidRPr="00A74402">
        <w:rPr>
          <w:rFonts w:ascii="Times New Roman" w:hAnsi="Times New Roman"/>
          <w:sz w:val="24"/>
          <w:lang w:val="es-CL"/>
        </w:rPr>
        <w:t>.</w:t>
      </w:r>
    </w:p>
    <w:p w14:paraId="78F89820" w14:textId="77777777" w:rsidR="0040070D" w:rsidRPr="00A74402" w:rsidRDefault="0040070D" w:rsidP="0040070D">
      <w:pPr>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 xml:space="preserve">Es por ello que el entorno macroeconómico interno y externo en que se implementan las políticas específicas de desarrollo productivo tiene una influencia decisiva sobre el volumen de inversión, la tasa de ocupación de los recursos, así como la mentalidad y actitudes que permean a los agentes económicos. Los enfoques de política macroeconómica que priorizan demasiado un instrumento, en forma aislada o a expensas del resto --como ser en el llamado enfoque de metas de inflación por sobre el crecimiento, el empleo y la inversión--, puede terminar provocando elevadas tasas de subutilización promedio del </w:t>
      </w:r>
      <w:r w:rsidRPr="00A74402">
        <w:rPr>
          <w:rFonts w:ascii="Times New Roman" w:hAnsi="Times New Roman" w:cs="Times New Roman"/>
          <w:i/>
          <w:sz w:val="24"/>
        </w:rPr>
        <w:t>stock</w:t>
      </w:r>
      <w:r w:rsidRPr="00A74402">
        <w:rPr>
          <w:rFonts w:ascii="Times New Roman" w:hAnsi="Times New Roman" w:cs="Times New Roman"/>
          <w:iCs/>
          <w:sz w:val="24"/>
        </w:rPr>
        <w:t xml:space="preserve"> de capital y así desincentivando la formación de capital</w:t>
      </w:r>
      <w:r w:rsidRPr="00A74402">
        <w:rPr>
          <w:rFonts w:ascii="Times New Roman" w:hAnsi="Times New Roman" w:cs="Times New Roman"/>
          <w:sz w:val="24"/>
        </w:rPr>
        <w:t xml:space="preserve">. </w:t>
      </w:r>
    </w:p>
    <w:p w14:paraId="73F0FEF4" w14:textId="77777777" w:rsidR="0040070D" w:rsidRPr="00A74402" w:rsidRDefault="0040070D" w:rsidP="0040070D">
      <w:pPr>
        <w:pStyle w:val="Textoindependiente"/>
        <w:widowControl/>
        <w:contextualSpacing/>
        <w:rPr>
          <w:rFonts w:ascii="Times New Roman" w:hAnsi="Times New Roman"/>
          <w:snapToGrid/>
          <w:sz w:val="24"/>
          <w:lang w:val="es-CL"/>
        </w:rPr>
      </w:pPr>
      <w:r w:rsidRPr="00A74402">
        <w:rPr>
          <w:rFonts w:ascii="Times New Roman" w:hAnsi="Times New Roman"/>
          <w:snapToGrid/>
          <w:sz w:val="24"/>
          <w:lang w:val="es-CL"/>
        </w:rPr>
        <w:tab/>
        <w:t xml:space="preserve">Una relativa mayor estabilidad macroeconómica real --en el sentido de lograr una demanda agregada consistente con el PIB* y balances externo y fiscal </w:t>
      </w:r>
      <w:r w:rsidRPr="00A74402">
        <w:rPr>
          <w:rFonts w:ascii="Times New Roman" w:hAnsi="Times New Roman"/>
          <w:i/>
          <w:snapToGrid/>
          <w:sz w:val="24"/>
          <w:lang w:val="es-CL"/>
        </w:rPr>
        <w:t>sostenibles</w:t>
      </w:r>
      <w:r w:rsidRPr="00A74402">
        <w:rPr>
          <w:rFonts w:ascii="Times New Roman" w:hAnsi="Times New Roman"/>
          <w:snapToGrid/>
          <w:sz w:val="24"/>
          <w:lang w:val="es-CL"/>
        </w:rPr>
        <w:t>-- tiende a proveer un incentivo para la formación de capital. Lo repetimos por su relevancia y por la frecuencia con que se imponen enfoques macroeconómicos más de moda, que resultan pro-cíclicos, intensos en desequilibrios de la macroeconomía real, y que ignoran ese hecho fundamental: la estabilidad de la macroeconomía real provee un ambiente más propicio para mejoras de productividad que para operaciones especulativas; mayor énfasis en aumentos de capacidad en vez de expansión de grupos económicos vía compras y fusiones, así como una productividad efectiva más elevada gracias a una tasa mayor de utilización de la capacidad existente de capital físico y mano de obra (CEPAL, 2010; Ffrench-Davis, 2010). Del mismo modo, los esfuerzos por innovar (que muchas veces necesitan de prolongados períodos de maduración) dependen muy sensiblemente de que exista “tranquilidad” macroeconómica real y expectativas de sostenibilidad.</w:t>
      </w:r>
    </w:p>
    <w:p w14:paraId="4D34EF40" w14:textId="7E8C8CC8" w:rsidR="0040070D" w:rsidRPr="00A74402" w:rsidRDefault="0040070D" w:rsidP="0040070D">
      <w:pPr>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El gráfico 4</w:t>
      </w:r>
      <w:r w:rsidR="000E52D8" w:rsidRPr="00A74402">
        <w:rPr>
          <w:rFonts w:ascii="Times New Roman" w:hAnsi="Times New Roman" w:cs="Times New Roman"/>
          <w:sz w:val="24"/>
        </w:rPr>
        <w:t>, que cubre 1974-98,</w:t>
      </w:r>
      <w:r w:rsidRPr="00A74402">
        <w:rPr>
          <w:rFonts w:ascii="Times New Roman" w:hAnsi="Times New Roman" w:cs="Times New Roman"/>
          <w:sz w:val="24"/>
        </w:rPr>
        <w:t xml:space="preserve"> muestra la asociación negativa entre la BR y la tasa de inversión. Aparece como una fuerza dominante en 1974-89 dada la intensidad de las BR sobre 20% del PIB en 1975 y en 1982-83.  En 1990- 98 la BR es muy reducida o inexistente y contribuye a la continuada expansión de la inversión hasta 1998. </w:t>
      </w:r>
      <w:r w:rsidR="000E52D8" w:rsidRPr="00A74402">
        <w:rPr>
          <w:rFonts w:ascii="Times New Roman" w:hAnsi="Times New Roman" w:cs="Times New Roman"/>
          <w:sz w:val="24"/>
        </w:rPr>
        <w:t>Desde entonces</w:t>
      </w:r>
      <w:r w:rsidRPr="00A74402">
        <w:rPr>
          <w:rFonts w:ascii="Times New Roman" w:hAnsi="Times New Roman" w:cs="Times New Roman"/>
          <w:sz w:val="24"/>
        </w:rPr>
        <w:t>, persiste el signo de la asociación</w:t>
      </w:r>
      <w:r w:rsidR="000E52D8" w:rsidRPr="00A74402">
        <w:rPr>
          <w:rFonts w:ascii="Times New Roman" w:hAnsi="Times New Roman" w:cs="Times New Roman"/>
          <w:sz w:val="24"/>
        </w:rPr>
        <w:t>: cambios de la BR son seguidos  por cambios con el signo opuesto en la FBKF;</w:t>
      </w:r>
      <w:r w:rsidRPr="00A74402">
        <w:rPr>
          <w:rFonts w:ascii="Times New Roman" w:hAnsi="Times New Roman" w:cs="Times New Roman"/>
          <w:sz w:val="24"/>
        </w:rPr>
        <w:t xml:space="preserve"> pero</w:t>
      </w:r>
      <w:r w:rsidR="000E52D8" w:rsidRPr="00A74402">
        <w:rPr>
          <w:rFonts w:ascii="Times New Roman" w:hAnsi="Times New Roman" w:cs="Times New Roman"/>
          <w:sz w:val="24"/>
        </w:rPr>
        <w:t>,</w:t>
      </w:r>
      <w:r w:rsidRPr="00A74402">
        <w:rPr>
          <w:rFonts w:ascii="Times New Roman" w:hAnsi="Times New Roman" w:cs="Times New Roman"/>
          <w:sz w:val="24"/>
        </w:rPr>
        <w:t xml:space="preserve"> </w:t>
      </w:r>
      <w:r w:rsidR="008241AF" w:rsidRPr="00A74402">
        <w:rPr>
          <w:rFonts w:ascii="Times New Roman" w:hAnsi="Times New Roman" w:cs="Times New Roman"/>
          <w:sz w:val="24"/>
        </w:rPr>
        <w:t xml:space="preserve">esta se ve </w:t>
      </w:r>
      <w:r w:rsidR="000E52D8" w:rsidRPr="00A74402">
        <w:rPr>
          <w:rFonts w:ascii="Times New Roman" w:hAnsi="Times New Roman" w:cs="Times New Roman"/>
          <w:sz w:val="24"/>
        </w:rPr>
        <w:t xml:space="preserve">debilitada </w:t>
      </w:r>
      <w:r w:rsidR="008241AF" w:rsidRPr="00A74402">
        <w:rPr>
          <w:rFonts w:ascii="Times New Roman" w:hAnsi="Times New Roman" w:cs="Times New Roman"/>
          <w:sz w:val="24"/>
        </w:rPr>
        <w:t>por</w:t>
      </w:r>
      <w:r w:rsidRPr="00A74402">
        <w:rPr>
          <w:rFonts w:ascii="Times New Roman" w:hAnsi="Times New Roman" w:cs="Times New Roman"/>
          <w:sz w:val="24"/>
        </w:rPr>
        <w:t xml:space="preserve"> la presencia de </w:t>
      </w:r>
      <w:r w:rsidR="00BD288D" w:rsidRPr="00A74402">
        <w:rPr>
          <w:rFonts w:ascii="Times New Roman" w:hAnsi="Times New Roman" w:cs="Times New Roman"/>
          <w:sz w:val="24"/>
        </w:rPr>
        <w:t xml:space="preserve">las </w:t>
      </w:r>
      <w:r w:rsidRPr="00A74402">
        <w:rPr>
          <w:rFonts w:ascii="Times New Roman" w:hAnsi="Times New Roman" w:cs="Times New Roman"/>
          <w:sz w:val="24"/>
        </w:rPr>
        <w:t xml:space="preserve">tres </w:t>
      </w:r>
      <w:r w:rsidR="000E52D8" w:rsidRPr="00A74402">
        <w:rPr>
          <w:rFonts w:ascii="Times New Roman" w:hAnsi="Times New Roman" w:cs="Times New Roman"/>
          <w:sz w:val="24"/>
        </w:rPr>
        <w:t>variables</w:t>
      </w:r>
      <w:r w:rsidR="00BD288D" w:rsidRPr="00A74402">
        <w:rPr>
          <w:rFonts w:ascii="Times New Roman" w:hAnsi="Times New Roman" w:cs="Times New Roman"/>
          <w:sz w:val="24"/>
        </w:rPr>
        <w:t xml:space="preserve"> expuestas en la sub</w:t>
      </w:r>
      <w:r w:rsidR="00E233EE" w:rsidRPr="00A74402">
        <w:rPr>
          <w:rFonts w:ascii="Times New Roman" w:hAnsi="Times New Roman" w:cs="Times New Roman"/>
          <w:sz w:val="24"/>
        </w:rPr>
        <w:t>-</w:t>
      </w:r>
      <w:r w:rsidR="00BD288D" w:rsidRPr="00A74402">
        <w:rPr>
          <w:rFonts w:ascii="Times New Roman" w:hAnsi="Times New Roman" w:cs="Times New Roman"/>
          <w:sz w:val="24"/>
        </w:rPr>
        <w:t>sección anterior,</w:t>
      </w:r>
      <w:r w:rsidR="000E52D8" w:rsidRPr="00A74402">
        <w:rPr>
          <w:rFonts w:ascii="Times New Roman" w:hAnsi="Times New Roman" w:cs="Times New Roman"/>
          <w:sz w:val="24"/>
        </w:rPr>
        <w:t xml:space="preserve"> que alteran</w:t>
      </w:r>
      <w:r w:rsidRPr="00A74402">
        <w:rPr>
          <w:rFonts w:ascii="Times New Roman" w:hAnsi="Times New Roman" w:cs="Times New Roman"/>
          <w:sz w:val="24"/>
        </w:rPr>
        <w:t xml:space="preserve"> la relación entre la magnitud de la BR y la tasa de inversión.</w:t>
      </w:r>
    </w:p>
    <w:p w14:paraId="4B2DF5F5" w14:textId="77777777" w:rsidR="0040070D" w:rsidRPr="00A74402" w:rsidRDefault="0040070D" w:rsidP="0040070D">
      <w:pPr>
        <w:pStyle w:val="Textoindependiente"/>
        <w:widowControl/>
        <w:contextualSpacing/>
        <w:rPr>
          <w:rFonts w:ascii="Times New Roman" w:hAnsi="Times New Roman"/>
          <w:snapToGrid/>
          <w:sz w:val="24"/>
          <w:lang w:val="es-CL"/>
        </w:rPr>
      </w:pPr>
      <w:r w:rsidRPr="00A74402">
        <w:rPr>
          <w:rFonts w:ascii="Times New Roman" w:hAnsi="Times New Roman"/>
          <w:sz w:val="24"/>
        </w:rPr>
        <w:tab/>
      </w:r>
      <w:r w:rsidRPr="00A74402">
        <w:rPr>
          <w:rFonts w:ascii="Times New Roman" w:hAnsi="Times New Roman"/>
          <w:sz w:val="24"/>
        </w:rPr>
        <w:tab/>
      </w:r>
      <w:r w:rsidRPr="00A74402">
        <w:rPr>
          <w:rFonts w:ascii="Times New Roman" w:hAnsi="Times New Roman"/>
          <w:sz w:val="24"/>
        </w:rPr>
        <w:tab/>
      </w:r>
      <w:r w:rsidRPr="00A74402">
        <w:rPr>
          <w:rFonts w:ascii="Times New Roman" w:hAnsi="Times New Roman"/>
          <w:sz w:val="24"/>
        </w:rPr>
        <w:tab/>
      </w:r>
      <w:r w:rsidRPr="00A74402">
        <w:rPr>
          <w:rFonts w:ascii="Times New Roman" w:hAnsi="Times New Roman"/>
          <w:sz w:val="24"/>
        </w:rPr>
        <w:tab/>
        <w:t>Gráfico 4</w:t>
      </w:r>
    </w:p>
    <w:p w14:paraId="229AEF9E" w14:textId="77777777" w:rsidR="009D1D37" w:rsidRPr="00A74402" w:rsidRDefault="0040070D" w:rsidP="0040070D">
      <w:pPr>
        <w:pStyle w:val="Textoindependiente"/>
        <w:widowControl/>
        <w:contextualSpacing/>
        <w:rPr>
          <w:rFonts w:ascii="Times New Roman" w:hAnsi="Times New Roman"/>
          <w:sz w:val="24"/>
        </w:rPr>
      </w:pPr>
      <w:r w:rsidRPr="00A74402">
        <w:rPr>
          <w:rFonts w:ascii="Times New Roman" w:hAnsi="Times New Roman"/>
          <w:sz w:val="24"/>
        </w:rPr>
        <w:tab/>
        <w:t>Cabe destacar que el tipo de cambio ha jugado un rol muy relevante como asignador determinante de recursos productivos entre transables y no transables y con significativa incidencia sobre la composición de la demanda interna. Desde los inicios de cada proceso de reactivación de la economía --dado el comportamiento pro</w:t>
      </w:r>
      <w:r w:rsidR="008329A3" w:rsidRPr="00A74402">
        <w:rPr>
          <w:rFonts w:ascii="Times New Roman" w:hAnsi="Times New Roman"/>
          <w:sz w:val="24"/>
        </w:rPr>
        <w:t>-</w:t>
      </w:r>
      <w:r w:rsidRPr="00A74402">
        <w:rPr>
          <w:rFonts w:ascii="Times New Roman" w:hAnsi="Times New Roman"/>
          <w:sz w:val="24"/>
        </w:rPr>
        <w:t xml:space="preserve">cíclico de la política cambiaria (Ffrench-Davis, 2018, cap. VIII y anexo 2), la tasa real empezaba a apreciarse notoriamente y a desequilibrar las cuentas externas, siendo la excepción 1990-95. Así, en la medida que el inversionista observaba que la economía comenzaba a acercarse a la frontera productiva, constataba que el tipo de cambio se apreciaba. En general, la apreciación desalienta no solo la producción de transables (exportaciones y los que compiten con las importaciones) sino también su valor agregado. A su vez, la volatilidad cíclica afecta la calidad de la inversión al inducir inversiones en transables en los períodos de excesiva depreciación y al alentar inversiones en no transables en periodos de excesiva apreciación. Vale decir, induce decisiones ineficientes en la asignación de recursos cuyas consecuencias suelen ser “irreversibles”. </w:t>
      </w:r>
    </w:p>
    <w:p w14:paraId="3D419C30" w14:textId="3E6A36C7" w:rsidR="0040070D" w:rsidRPr="00A74402" w:rsidRDefault="009D1D37" w:rsidP="0040070D">
      <w:pPr>
        <w:pStyle w:val="Textoindependiente"/>
        <w:widowControl/>
        <w:contextualSpacing/>
        <w:rPr>
          <w:rFonts w:ascii="Times New Roman" w:hAnsi="Times New Roman"/>
          <w:sz w:val="24"/>
        </w:rPr>
      </w:pPr>
      <w:r w:rsidRPr="00A74402">
        <w:rPr>
          <w:rFonts w:ascii="Times New Roman" w:hAnsi="Times New Roman"/>
          <w:sz w:val="24"/>
        </w:rPr>
        <w:tab/>
      </w:r>
      <w:r w:rsidR="0040070D" w:rsidRPr="00A74402">
        <w:rPr>
          <w:rFonts w:ascii="Times New Roman" w:hAnsi="Times New Roman"/>
          <w:sz w:val="24"/>
        </w:rPr>
        <w:t>En todos los casos --salvo cuando predominó una política macroeconómica contra-cíclica, como en 1990-95--, se ha registrado una notable apreciación cambiaria por periodos prolongados y un creciente déficit en la cuenta corriente. Sin duda, ello implica que l</w:t>
      </w:r>
      <w:r w:rsidR="007263AB" w:rsidRPr="00A74402">
        <w:rPr>
          <w:rFonts w:ascii="Times New Roman" w:hAnsi="Times New Roman"/>
          <w:sz w:val="24"/>
        </w:rPr>
        <w:t xml:space="preserve">os agentes </w:t>
      </w:r>
      <w:r w:rsidR="0040070D" w:rsidRPr="00A74402">
        <w:rPr>
          <w:rFonts w:ascii="Times New Roman" w:hAnsi="Times New Roman"/>
          <w:sz w:val="24"/>
        </w:rPr>
        <w:t>econ</w:t>
      </w:r>
      <w:r w:rsidR="007263AB" w:rsidRPr="00A74402">
        <w:rPr>
          <w:rFonts w:ascii="Times New Roman" w:hAnsi="Times New Roman"/>
          <w:sz w:val="24"/>
        </w:rPr>
        <w:t>ómicos</w:t>
      </w:r>
      <w:r w:rsidR="0040070D" w:rsidRPr="00A74402">
        <w:rPr>
          <w:rFonts w:ascii="Times New Roman" w:hAnsi="Times New Roman"/>
          <w:sz w:val="24"/>
        </w:rPr>
        <w:t xml:space="preserve"> --consumidores y productores--, naturalmente han ajustado su proceder al entorno macroeconómico que observan. El que bruscamente se revierte al final de cada uno de los ciclos con intensas depreciaciones. Falla evidente de la política macroeconómica desde 1999.</w:t>
      </w:r>
    </w:p>
    <w:p w14:paraId="548C14AD" w14:textId="5ACCD176" w:rsidR="0040070D" w:rsidRPr="00A74402" w:rsidRDefault="0040070D" w:rsidP="0040070D">
      <w:pPr>
        <w:tabs>
          <w:tab w:val="left" w:pos="-720"/>
        </w:tabs>
        <w:suppressAutoHyphens/>
        <w:contextualSpacing/>
        <w:rPr>
          <w:rFonts w:ascii="Times New Roman" w:hAnsi="Times New Roman" w:cs="Times New Roman"/>
          <w:sz w:val="24"/>
          <w:szCs w:val="24"/>
          <w:lang w:val="es-ES"/>
        </w:rPr>
      </w:pPr>
      <w:r w:rsidRPr="00A74402">
        <w:rPr>
          <w:rFonts w:ascii="Times New Roman" w:hAnsi="Times New Roman" w:cs="Times New Roman"/>
          <w:sz w:val="24"/>
        </w:rPr>
        <w:tab/>
        <w:t>Reviste gran relevancia</w:t>
      </w:r>
      <w:r w:rsidR="009D1D37" w:rsidRPr="00A74402">
        <w:rPr>
          <w:rFonts w:ascii="Times New Roman" w:hAnsi="Times New Roman" w:cs="Times New Roman"/>
          <w:sz w:val="24"/>
        </w:rPr>
        <w:t>, para el crecimiento y la inclusión,</w:t>
      </w:r>
      <w:r w:rsidRPr="00A74402">
        <w:rPr>
          <w:rFonts w:ascii="Times New Roman" w:hAnsi="Times New Roman" w:cs="Times New Roman"/>
          <w:sz w:val="24"/>
        </w:rPr>
        <w:t xml:space="preserve"> l</w:t>
      </w:r>
      <w:r w:rsidRPr="00A74402">
        <w:rPr>
          <w:rFonts w:ascii="Times New Roman" w:hAnsi="Times New Roman" w:cs="Times New Roman"/>
          <w:sz w:val="24"/>
          <w:szCs w:val="24"/>
        </w:rPr>
        <w:t>a continuidad de los procesos de reactivación y de la sostenibilidad de los equilibrios (internos y externos) que se logren luego de eliminar una brecha recesiva (ver CEPAL, 2010; Titelman y Pérez Caldentey, 2015). Una reactivación económica más prolongada le</w:t>
      </w:r>
      <w:r w:rsidR="00E233EE" w:rsidRPr="00A74402">
        <w:rPr>
          <w:rFonts w:ascii="Times New Roman" w:hAnsi="Times New Roman" w:cs="Times New Roman"/>
          <w:sz w:val="24"/>
          <w:szCs w:val="24"/>
        </w:rPr>
        <w:t>s</w:t>
      </w:r>
      <w:r w:rsidRPr="00A74402">
        <w:rPr>
          <w:rFonts w:ascii="Times New Roman" w:hAnsi="Times New Roman" w:cs="Times New Roman"/>
          <w:sz w:val="24"/>
          <w:szCs w:val="24"/>
        </w:rPr>
        <w:t xml:space="preserve"> da más tiempo y confianza a los inversionistas productivos para desarrollar sus proyectos. En ese contexto, la tasa de inversión se eleva gradualmente, facilitando el desarrollo de las PYME y nuevos emprendedores. </w:t>
      </w:r>
      <w:r w:rsidRPr="00A74402">
        <w:rPr>
          <w:rFonts w:ascii="Times New Roman" w:hAnsi="Times New Roman" w:cs="Times New Roman"/>
          <w:sz w:val="24"/>
          <w:szCs w:val="24"/>
          <w:lang w:val="es-ES"/>
        </w:rPr>
        <w:t xml:space="preserve">En resumen, el efecto dinámico será más significativo si se generan expectativas sólidas entre los actores económicos respecto de que las políticas públicas mantendrán la demanda efectiva cerca de la frontera de producción y de que la evolución del tipo de cambio </w:t>
      </w:r>
      <w:r w:rsidR="008329A3" w:rsidRPr="00A74402">
        <w:rPr>
          <w:rFonts w:ascii="Times New Roman" w:hAnsi="Times New Roman" w:cs="Times New Roman"/>
          <w:sz w:val="24"/>
          <w:szCs w:val="24"/>
          <w:lang w:val="es-ES"/>
        </w:rPr>
        <w:t>sea</w:t>
      </w:r>
      <w:r w:rsidRPr="00A74402">
        <w:rPr>
          <w:rFonts w:ascii="Times New Roman" w:hAnsi="Times New Roman" w:cs="Times New Roman"/>
          <w:sz w:val="24"/>
          <w:szCs w:val="24"/>
          <w:lang w:val="es-ES"/>
        </w:rPr>
        <w:t xml:space="preserve"> consistente con la sostenibilidad de las cuentas externas. Este conjunto de condiciones tendió a predominar solo en </w:t>
      </w:r>
      <w:r w:rsidR="00C50721" w:rsidRPr="00A74402">
        <w:rPr>
          <w:rFonts w:ascii="Times New Roman" w:hAnsi="Times New Roman" w:cs="Times New Roman"/>
          <w:sz w:val="24"/>
          <w:szCs w:val="24"/>
          <w:lang w:val="es-ES"/>
        </w:rPr>
        <w:t xml:space="preserve">la mayoría de </w:t>
      </w:r>
      <w:r w:rsidRPr="00A74402">
        <w:rPr>
          <w:rFonts w:ascii="Times New Roman" w:hAnsi="Times New Roman" w:cs="Times New Roman"/>
          <w:sz w:val="24"/>
          <w:szCs w:val="24"/>
          <w:lang w:val="es-ES"/>
        </w:rPr>
        <w:t>los años 1991-98, cuando la tasa de FBKF fue elevándose persistentemente hasta 1998.</w:t>
      </w:r>
    </w:p>
    <w:p w14:paraId="2C0C84B6" w14:textId="774BFE4D" w:rsidR="00A74402" w:rsidRPr="00A74402" w:rsidRDefault="0040070D" w:rsidP="00A74402">
      <w:pPr>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Por el contrario, si la mayor actividad se consigue a expensas de un desequilibrio en otra variable (como el sector externo a causa de la volatilidad, por ejemplo, impuesta por una política de tipo de cambio libre), entonces, el efecto positivo se diluirá tan pronto como una devaluación masiva del tipo de cambio libre (y la probable necesidad de corregir la asignación de recursos entre transables y no transables) vuelva a abrir la BR. Este resultado fue común bajo políticas intervencionistas</w:t>
      </w:r>
      <w:r w:rsidR="002D2138" w:rsidRPr="00A74402">
        <w:rPr>
          <w:rFonts w:ascii="Times New Roman" w:hAnsi="Times New Roman" w:cs="Times New Roman"/>
          <w:sz w:val="24"/>
        </w:rPr>
        <w:t>,</w:t>
      </w:r>
      <w:r w:rsidRPr="00A74402">
        <w:rPr>
          <w:rFonts w:ascii="Times New Roman" w:hAnsi="Times New Roman" w:cs="Times New Roman"/>
          <w:sz w:val="24"/>
        </w:rPr>
        <w:t xml:space="preserve"> pero también se intensificó bajo el </w:t>
      </w:r>
      <w:r w:rsidR="008329A3" w:rsidRPr="00A74402">
        <w:rPr>
          <w:rFonts w:ascii="Times New Roman" w:hAnsi="Times New Roman" w:cs="Times New Roman"/>
          <w:sz w:val="24"/>
        </w:rPr>
        <w:t>enfoque macroeconómico</w:t>
      </w:r>
      <w:r w:rsidRPr="00A74402">
        <w:rPr>
          <w:rFonts w:ascii="Times New Roman" w:hAnsi="Times New Roman" w:cs="Times New Roman"/>
          <w:sz w:val="24"/>
        </w:rPr>
        <w:t xml:space="preserve"> neoliberal. </w:t>
      </w:r>
    </w:p>
    <w:p w14:paraId="5A998EE9" w14:textId="77777777" w:rsidR="00A74402" w:rsidRDefault="0040070D" w:rsidP="0040070D">
      <w:pPr>
        <w:tabs>
          <w:tab w:val="left" w:pos="-720"/>
        </w:tabs>
        <w:suppressAutoHyphens/>
        <w:spacing w:line="240" w:lineRule="auto"/>
        <w:contextualSpacing/>
        <w:rPr>
          <w:rFonts w:ascii="Times New Roman" w:hAnsi="Times New Roman" w:cs="Times New Roman"/>
          <w:b/>
          <w:sz w:val="24"/>
        </w:rPr>
      </w:pPr>
      <w:r w:rsidRPr="00A74402">
        <w:rPr>
          <w:rFonts w:ascii="Times New Roman" w:hAnsi="Times New Roman" w:cs="Times New Roman"/>
          <w:b/>
          <w:sz w:val="24"/>
        </w:rPr>
        <w:tab/>
      </w:r>
    </w:p>
    <w:p w14:paraId="7EC39801" w14:textId="500C5CA8" w:rsidR="0040070D" w:rsidRPr="00A74402" w:rsidRDefault="00A74402" w:rsidP="0040070D">
      <w:pPr>
        <w:tabs>
          <w:tab w:val="left" w:pos="-720"/>
        </w:tabs>
        <w:suppressAutoHyphens/>
        <w:spacing w:line="240" w:lineRule="auto"/>
        <w:contextualSpacing/>
        <w:rPr>
          <w:rFonts w:ascii="Times New Roman" w:hAnsi="Times New Roman" w:cs="Times New Roman"/>
          <w:b/>
          <w:bCs/>
          <w:color w:val="222222"/>
          <w:sz w:val="28"/>
          <w:szCs w:val="28"/>
          <w:shd w:val="clear" w:color="auto" w:fill="FFFFFF"/>
        </w:rPr>
      </w:pPr>
      <w:r>
        <w:rPr>
          <w:rFonts w:ascii="Times New Roman" w:hAnsi="Times New Roman" w:cs="Times New Roman"/>
          <w:b/>
          <w:sz w:val="24"/>
        </w:rPr>
        <w:br w:type="column"/>
      </w:r>
      <w:r w:rsidR="0040070D" w:rsidRPr="00A74402">
        <w:rPr>
          <w:rFonts w:ascii="Times New Roman" w:hAnsi="Times New Roman" w:cs="Times New Roman"/>
          <w:b/>
          <w:bCs/>
          <w:i/>
          <w:color w:val="222222"/>
          <w:sz w:val="28"/>
          <w:szCs w:val="28"/>
          <w:shd w:val="clear" w:color="auto" w:fill="FFFFFF"/>
        </w:rPr>
        <w:t>c) La globalización de la volatilidad financiera y los desequilibrios de la macroeconomía real en Chile</w:t>
      </w:r>
      <w:r w:rsidR="0040070D" w:rsidRPr="00A74402">
        <w:rPr>
          <w:rStyle w:val="Refdenotaalpie"/>
          <w:rFonts w:ascii="Times New Roman" w:hAnsi="Times New Roman" w:cs="Times New Roman"/>
          <w:b/>
          <w:bCs/>
          <w:i/>
          <w:color w:val="222222"/>
          <w:sz w:val="28"/>
          <w:szCs w:val="28"/>
          <w:shd w:val="clear" w:color="auto" w:fill="FFFFFF"/>
        </w:rPr>
        <w:footnoteReference w:id="11"/>
      </w:r>
    </w:p>
    <w:p w14:paraId="30AB52CE" w14:textId="77777777" w:rsidR="0040070D" w:rsidRPr="00A74402" w:rsidRDefault="0040070D" w:rsidP="0040070D">
      <w:pPr>
        <w:pStyle w:val="Textoindependiente"/>
        <w:widowControl/>
        <w:spacing w:line="240" w:lineRule="auto"/>
        <w:contextualSpacing/>
        <w:rPr>
          <w:rFonts w:ascii="Times New Roman" w:hAnsi="Times New Roman"/>
          <w:snapToGrid/>
          <w:sz w:val="24"/>
          <w:lang w:val="es-CL"/>
        </w:rPr>
      </w:pPr>
      <w:r w:rsidRPr="00A74402">
        <w:rPr>
          <w:rFonts w:ascii="Times New Roman" w:hAnsi="Times New Roman"/>
          <w:snapToGrid/>
          <w:sz w:val="24"/>
          <w:lang w:val="es-CL"/>
        </w:rPr>
        <w:tab/>
      </w:r>
    </w:p>
    <w:p w14:paraId="379466CD" w14:textId="74B923AB" w:rsidR="0040070D" w:rsidRPr="00A74402" w:rsidRDefault="0040070D" w:rsidP="0040070D">
      <w:pPr>
        <w:pStyle w:val="Textoindependiente"/>
        <w:widowControl/>
        <w:contextualSpacing/>
        <w:rPr>
          <w:rFonts w:ascii="Times New Roman" w:hAnsi="Times New Roman"/>
          <w:bCs/>
          <w:color w:val="222222"/>
          <w:sz w:val="24"/>
          <w:szCs w:val="24"/>
          <w:shd w:val="clear" w:color="auto" w:fill="FFFFFF"/>
          <w:lang w:val="es-ES"/>
        </w:rPr>
      </w:pPr>
      <w:r w:rsidRPr="00A74402">
        <w:rPr>
          <w:rFonts w:ascii="Times New Roman" w:hAnsi="Times New Roman"/>
          <w:snapToGrid/>
          <w:sz w:val="24"/>
          <w:lang w:val="es-CL"/>
        </w:rPr>
        <w:tab/>
        <w:t>La inestabilidad de los flujos internacionales de capitales financieros ha sido determinante de las fluctuaciones de la demanda interna y de los macro-precios, con incidencia en el nivel de formación de capital y su calidad. En efecto, l</w:t>
      </w:r>
      <w:r w:rsidRPr="00A74402">
        <w:rPr>
          <w:rFonts w:ascii="Times New Roman" w:hAnsi="Times New Roman"/>
          <w:bCs/>
          <w:color w:val="222222"/>
          <w:sz w:val="24"/>
          <w:szCs w:val="24"/>
          <w:shd w:val="clear" w:color="auto" w:fill="FFFFFF"/>
        </w:rPr>
        <w:t>os flujos financieros han encabezado el proceso de globalización económica en los tres decenios recientes, con un fuerte comportamiento pro</w:t>
      </w:r>
      <w:r w:rsidR="008329A3" w:rsidRPr="00A74402">
        <w:rPr>
          <w:rFonts w:ascii="Times New Roman" w:hAnsi="Times New Roman"/>
          <w:bCs/>
          <w:color w:val="222222"/>
          <w:sz w:val="24"/>
          <w:szCs w:val="24"/>
          <w:shd w:val="clear" w:color="auto" w:fill="FFFFFF"/>
        </w:rPr>
        <w:t>-</w:t>
      </w:r>
      <w:r w:rsidRPr="00A74402">
        <w:rPr>
          <w:rFonts w:ascii="Times New Roman" w:hAnsi="Times New Roman"/>
          <w:bCs/>
          <w:color w:val="222222"/>
          <w:sz w:val="24"/>
          <w:szCs w:val="24"/>
          <w:shd w:val="clear" w:color="auto" w:fill="FFFFFF"/>
        </w:rPr>
        <w:t xml:space="preserve">cíclico; paradojalmente, </w:t>
      </w:r>
      <w:r w:rsidR="008329A3" w:rsidRPr="00A74402">
        <w:rPr>
          <w:rFonts w:ascii="Times New Roman" w:hAnsi="Times New Roman"/>
          <w:bCs/>
          <w:color w:val="222222"/>
          <w:sz w:val="24"/>
          <w:szCs w:val="24"/>
          <w:shd w:val="clear" w:color="auto" w:fill="FFFFFF"/>
        </w:rPr>
        <w:t xml:space="preserve">la composición de los flujos </w:t>
      </w:r>
      <w:r w:rsidRPr="00A74402">
        <w:rPr>
          <w:rFonts w:ascii="Times New Roman" w:hAnsi="Times New Roman"/>
          <w:bCs/>
          <w:color w:val="222222"/>
          <w:sz w:val="24"/>
          <w:szCs w:val="24"/>
          <w:shd w:val="clear" w:color="auto" w:fill="FFFFFF"/>
        </w:rPr>
        <w:t xml:space="preserve">ha exhibido una diversificación hacia la volatilidad. </w:t>
      </w:r>
      <w:r w:rsidRPr="00A74402">
        <w:rPr>
          <w:rFonts w:ascii="Times New Roman" w:hAnsi="Times New Roman"/>
          <w:bCs/>
          <w:color w:val="222222"/>
          <w:sz w:val="24"/>
          <w:szCs w:val="24"/>
          <w:shd w:val="clear" w:color="auto" w:fill="FFFFFF"/>
          <w:lang w:val="es-ES"/>
        </w:rPr>
        <w:t>Esta diversificación es intensiva en la búsqueda de "rentas económicas" o ganancias de capital más que de productividad en la generación del PIB.</w:t>
      </w:r>
    </w:p>
    <w:p w14:paraId="0D348224" w14:textId="77777777" w:rsidR="00537ED8" w:rsidRPr="00A74402" w:rsidRDefault="0040070D" w:rsidP="0040070D">
      <w:pPr>
        <w:ind w:firstLine="709"/>
        <w:contextualSpacing/>
        <w:rPr>
          <w:rFonts w:ascii="Times New Roman" w:hAnsi="Times New Roman" w:cs="Times New Roman"/>
          <w:sz w:val="24"/>
          <w:szCs w:val="24"/>
        </w:rPr>
      </w:pPr>
      <w:r w:rsidRPr="00A74402">
        <w:rPr>
          <w:rFonts w:ascii="Times New Roman" w:hAnsi="Times New Roman" w:cs="Times New Roman"/>
          <w:bCs/>
          <w:color w:val="222222"/>
          <w:sz w:val="24"/>
          <w:szCs w:val="24"/>
          <w:shd w:val="clear" w:color="auto" w:fill="FFFFFF"/>
          <w:lang w:val="es-ES"/>
        </w:rPr>
        <w:t>H</w:t>
      </w:r>
      <w:r w:rsidRPr="00A74402">
        <w:rPr>
          <w:rFonts w:ascii="Times New Roman" w:hAnsi="Times New Roman" w:cs="Times New Roman"/>
          <w:sz w:val="24"/>
          <w:szCs w:val="24"/>
        </w:rPr>
        <w:t>ay rasgos de los acreedores financieros que explican por qué tienen un comportamiento pro</w:t>
      </w:r>
      <w:r w:rsidR="008329A3" w:rsidRPr="00A74402">
        <w:rPr>
          <w:rFonts w:ascii="Times New Roman" w:hAnsi="Times New Roman" w:cs="Times New Roman"/>
          <w:sz w:val="24"/>
          <w:szCs w:val="24"/>
        </w:rPr>
        <w:t>-</w:t>
      </w:r>
      <w:r w:rsidRPr="00A74402">
        <w:rPr>
          <w:rFonts w:ascii="Times New Roman" w:hAnsi="Times New Roman" w:cs="Times New Roman"/>
          <w:sz w:val="24"/>
          <w:szCs w:val="24"/>
        </w:rPr>
        <w:t>cíclico. Los agentes líderes</w:t>
      </w:r>
      <w:r w:rsidRPr="00A74402">
        <w:rPr>
          <w:rFonts w:ascii="Times New Roman" w:hAnsi="Times New Roman" w:cs="Times New Roman"/>
          <w:i/>
          <w:sz w:val="24"/>
          <w:szCs w:val="24"/>
        </w:rPr>
        <w:t xml:space="preserve"> </w:t>
      </w:r>
      <w:r w:rsidRPr="00A74402">
        <w:rPr>
          <w:rFonts w:ascii="Times New Roman" w:hAnsi="Times New Roman" w:cs="Times New Roman"/>
          <w:sz w:val="24"/>
          <w:szCs w:val="24"/>
        </w:rPr>
        <w:t>de la oferta son, preferentemente, especialistas en inversión líquida, operan dentro de horizontes estrechos y por ello son sumamente sensibles a cambios en las variables que afectan a las ganancias de corto plazo.</w:t>
      </w:r>
      <w:r w:rsidRPr="00A74402">
        <w:rPr>
          <w:rStyle w:val="Refdenotaalpie"/>
          <w:rFonts w:ascii="Times New Roman" w:hAnsi="Times New Roman" w:cs="Times New Roman"/>
          <w:sz w:val="24"/>
          <w:szCs w:val="24"/>
        </w:rPr>
        <w:t xml:space="preserve"> </w:t>
      </w:r>
      <w:r w:rsidRPr="00A74402">
        <w:rPr>
          <w:rFonts w:ascii="Times New Roman" w:hAnsi="Times New Roman" w:cs="Times New Roman"/>
          <w:sz w:val="24"/>
          <w:szCs w:val="24"/>
        </w:rPr>
        <w:t xml:space="preserve">Una segunda característica es la difusión gradual de la información, entre los diversos operadores, sobre las oportunidades de inversión en los destinos geográficos que están en la mira de los operadores actuales y </w:t>
      </w:r>
      <w:r w:rsidR="008329A3" w:rsidRPr="00A74402">
        <w:rPr>
          <w:rFonts w:ascii="Times New Roman" w:hAnsi="Times New Roman" w:cs="Times New Roman"/>
          <w:sz w:val="24"/>
          <w:szCs w:val="24"/>
        </w:rPr>
        <w:t xml:space="preserve">de </w:t>
      </w:r>
      <w:r w:rsidRPr="00A74402">
        <w:rPr>
          <w:rFonts w:ascii="Times New Roman" w:hAnsi="Times New Roman" w:cs="Times New Roman"/>
          <w:sz w:val="24"/>
          <w:szCs w:val="24"/>
        </w:rPr>
        <w:t>los que se van agregando en el proceso de auge. Esto explica por qué la oferta de los flujos de capital haya s</w:t>
      </w:r>
      <w:r w:rsidR="008329A3" w:rsidRPr="00A74402">
        <w:rPr>
          <w:rFonts w:ascii="Times New Roman" w:hAnsi="Times New Roman" w:cs="Times New Roman"/>
          <w:sz w:val="24"/>
          <w:szCs w:val="24"/>
        </w:rPr>
        <w:t>ol</w:t>
      </w:r>
      <w:r w:rsidRPr="00A74402">
        <w:rPr>
          <w:rFonts w:ascii="Times New Roman" w:hAnsi="Times New Roman" w:cs="Times New Roman"/>
          <w:sz w:val="24"/>
          <w:szCs w:val="24"/>
        </w:rPr>
        <w:t xml:space="preserve">ido </w:t>
      </w:r>
      <w:r w:rsidR="008329A3" w:rsidRPr="00A74402">
        <w:rPr>
          <w:rFonts w:ascii="Times New Roman" w:hAnsi="Times New Roman" w:cs="Times New Roman"/>
          <w:sz w:val="24"/>
          <w:szCs w:val="24"/>
        </w:rPr>
        <w:t xml:space="preserve">ser </w:t>
      </w:r>
      <w:r w:rsidRPr="00A74402">
        <w:rPr>
          <w:rFonts w:ascii="Times New Roman" w:hAnsi="Times New Roman" w:cs="Times New Roman"/>
          <w:sz w:val="24"/>
          <w:szCs w:val="24"/>
        </w:rPr>
        <w:t xml:space="preserve">una serie de procesos crecientes cada uno de los cuales ha perdurado por varios años. El proceso ha sido retroalimentado, con frecuencia, por la existencia de una brecha recesiva significativa y un tipo de cambio depreciado al inicio de cada uno de esos procesos (en el caso de Chile, en 1976, 1990, 2004, 2010). Adicionalmente, en los tiempos más recientes, los flujos de fondos financieros hacia Chile se correlacionaron con el precio del cobre para intensificar la pro-ciclicidad. </w:t>
      </w:r>
    </w:p>
    <w:p w14:paraId="3FAA0061" w14:textId="32715F71" w:rsidR="0040070D" w:rsidRPr="00A74402" w:rsidRDefault="0040070D" w:rsidP="0040070D">
      <w:pPr>
        <w:ind w:firstLine="709"/>
        <w:contextualSpacing/>
        <w:rPr>
          <w:rFonts w:ascii="Times New Roman" w:hAnsi="Times New Roman" w:cs="Times New Roman"/>
          <w:sz w:val="24"/>
          <w:szCs w:val="24"/>
        </w:rPr>
      </w:pPr>
      <w:r w:rsidRPr="00A74402">
        <w:rPr>
          <w:rFonts w:ascii="Times New Roman" w:hAnsi="Times New Roman" w:cs="Times New Roman"/>
          <w:sz w:val="24"/>
          <w:szCs w:val="24"/>
        </w:rPr>
        <w:t>Todo ello se auto-refuerza para que algunas variables –tales como la bolsa de valores, el tipo de cambio, las evaluaciones de las agencias calificadoras de riesgo y los precios de bonos y bienes raíces-- puedan moverse en una determinada dirección, primero recuperándose y luego pasándose de largo. Se alejan así de los equilibrios sostenibles por lapsos prolongados, estimulando en el proceso de ajuste flujos financieros que persiguen ganancias de capital (</w:t>
      </w:r>
      <w:r w:rsidRPr="00A74402">
        <w:rPr>
          <w:rFonts w:ascii="Times New Roman" w:hAnsi="Times New Roman" w:cs="Times New Roman"/>
          <w:i/>
          <w:sz w:val="24"/>
          <w:szCs w:val="24"/>
        </w:rPr>
        <w:t>rent-seekers</w:t>
      </w:r>
      <w:r w:rsidRPr="00A74402">
        <w:rPr>
          <w:rFonts w:ascii="Times New Roman" w:hAnsi="Times New Roman" w:cs="Times New Roman"/>
          <w:sz w:val="24"/>
          <w:szCs w:val="24"/>
        </w:rPr>
        <w:t>), contribuyendo a una creciente expansión de la demanda interna, al desequilibrio externo y apreciación cambiaria, generando vulnerabilidades que luego dan paso a una brusca reversión</w:t>
      </w:r>
      <w:r w:rsidR="00873B6E" w:rsidRPr="00A74402">
        <w:rPr>
          <w:rFonts w:ascii="Times New Roman" w:hAnsi="Times New Roman" w:cs="Times New Roman"/>
          <w:sz w:val="24"/>
          <w:szCs w:val="24"/>
        </w:rPr>
        <w:t xml:space="preserve"> y un ajuste recesivo</w:t>
      </w:r>
      <w:r w:rsidRPr="00A74402">
        <w:rPr>
          <w:rFonts w:ascii="Times New Roman" w:hAnsi="Times New Roman" w:cs="Times New Roman"/>
          <w:sz w:val="24"/>
          <w:szCs w:val="24"/>
        </w:rPr>
        <w:t>.</w:t>
      </w:r>
    </w:p>
    <w:p w14:paraId="038DA3AC" w14:textId="77777777" w:rsidR="0040070D" w:rsidRPr="00A74402" w:rsidRDefault="0040070D" w:rsidP="0040070D">
      <w:pPr>
        <w:tabs>
          <w:tab w:val="left" w:pos="-720"/>
        </w:tabs>
        <w:suppressAutoHyphens/>
        <w:contextualSpacing/>
        <w:rPr>
          <w:rFonts w:ascii="Times New Roman" w:hAnsi="Times New Roman" w:cs="Times New Roman"/>
          <w:sz w:val="24"/>
          <w:szCs w:val="24"/>
        </w:rPr>
      </w:pPr>
      <w:r w:rsidRPr="00A74402">
        <w:rPr>
          <w:rFonts w:ascii="Times New Roman" w:hAnsi="Times New Roman" w:cs="Times New Roman"/>
          <w:sz w:val="24"/>
        </w:rPr>
        <w:tab/>
      </w:r>
      <w:r w:rsidRPr="00A74402">
        <w:rPr>
          <w:rFonts w:ascii="Times New Roman" w:hAnsi="Times New Roman" w:cs="Times New Roman"/>
          <w:sz w:val="24"/>
          <w:szCs w:val="24"/>
        </w:rPr>
        <w:t xml:space="preserve"> A diferencia de la inversión en capital fijo, que suele ser principalmente irreversible, estos capitales financieros son plenamente reversibles, pero en el proceso han inducido, por sus efectos macroeconómicos, asignaciones irreversibles e ineficientes de los recursos productivos.</w:t>
      </w:r>
    </w:p>
    <w:p w14:paraId="293D018E" w14:textId="77777777" w:rsidR="0040070D" w:rsidRPr="00A74402" w:rsidRDefault="0040070D" w:rsidP="0040070D">
      <w:pPr>
        <w:ind w:firstLine="708"/>
        <w:contextualSpacing/>
        <w:rPr>
          <w:rFonts w:ascii="Times New Roman" w:hAnsi="Times New Roman" w:cs="Times New Roman"/>
          <w:sz w:val="24"/>
          <w:szCs w:val="24"/>
          <w:lang w:val="es-ES"/>
        </w:rPr>
      </w:pPr>
      <w:r w:rsidRPr="00A74402">
        <w:rPr>
          <w:rFonts w:ascii="Times New Roman" w:hAnsi="Times New Roman" w:cs="Times New Roman"/>
          <w:sz w:val="24"/>
          <w:szCs w:val="24"/>
          <w:lang w:val="es-ES"/>
        </w:rPr>
        <w:t>Cabe reiterar, entonces, que las variables de mayor pertinencia para los operadores financieros no se relacionan con los fundamentos de largo plazo de la economía nacional, sino con su rentabilidad de corto plazo. Esto explica por qué su opinión sobre un determinado país puede cambiar radical y repentinamente, a pesar de que los fundamentos económicos de ese país hayan sido similares antes y después de la reversión abrupta de  los flujos.</w:t>
      </w:r>
    </w:p>
    <w:p w14:paraId="2E2C0E61" w14:textId="77777777" w:rsidR="0040070D" w:rsidRPr="00A74402" w:rsidRDefault="0040070D" w:rsidP="0040070D">
      <w:pPr>
        <w:ind w:firstLine="708"/>
        <w:contextualSpacing/>
        <w:rPr>
          <w:rFonts w:ascii="Times New Roman" w:hAnsi="Times New Roman" w:cs="Times New Roman"/>
          <w:sz w:val="24"/>
          <w:szCs w:val="24"/>
        </w:rPr>
      </w:pPr>
      <w:r w:rsidRPr="00A74402">
        <w:rPr>
          <w:rFonts w:ascii="Times New Roman" w:hAnsi="Times New Roman" w:cs="Times New Roman"/>
          <w:sz w:val="24"/>
          <w:szCs w:val="24"/>
          <w:lang w:val="es-ES"/>
        </w:rPr>
        <w:t>En síntesis, los flujos financieros han mostrado gran volatilidad pro-cíclica y, debido a su misma variabilidad, han tenido una escasa contribución directa a la financiación de la FBKF y un fuerte impacto negativo indirecto por su generación de inestabilidad macroeconómica sobre la demanda interna y el tipo de cambio. Lo que suele ocurrir es que estos flujos se dirigen a la compra de activos existentes y al consumo, generando burbujas y desplazando (</w:t>
      </w:r>
      <w:r w:rsidRPr="00A74402">
        <w:rPr>
          <w:rFonts w:ascii="Times New Roman" w:hAnsi="Times New Roman" w:cs="Times New Roman"/>
          <w:i/>
          <w:sz w:val="24"/>
          <w:szCs w:val="24"/>
          <w:lang w:val="es-ES"/>
        </w:rPr>
        <w:t>crowding-out</w:t>
      </w:r>
      <w:r w:rsidRPr="00A74402">
        <w:rPr>
          <w:rFonts w:ascii="Times New Roman" w:hAnsi="Times New Roman" w:cs="Times New Roman"/>
          <w:sz w:val="24"/>
          <w:szCs w:val="24"/>
          <w:lang w:val="es-ES"/>
        </w:rPr>
        <w:t xml:space="preserve">) al ahorro nacional. De hecho, frecuentemente, han desestabilizado la demanda interna, el tipo de cambio y no han contribuido a la formación de capital productivo (Ostry </w:t>
      </w:r>
      <w:r w:rsidRPr="00A74402">
        <w:rPr>
          <w:rFonts w:ascii="Times New Roman" w:hAnsi="Times New Roman" w:cs="Times New Roman"/>
          <w:i/>
          <w:sz w:val="24"/>
          <w:szCs w:val="24"/>
          <w:lang w:val="es-ES"/>
        </w:rPr>
        <w:t>et al</w:t>
      </w:r>
      <w:r w:rsidRPr="00A74402">
        <w:rPr>
          <w:rFonts w:ascii="Times New Roman" w:hAnsi="Times New Roman" w:cs="Times New Roman"/>
          <w:sz w:val="24"/>
          <w:szCs w:val="24"/>
          <w:lang w:val="es-ES"/>
        </w:rPr>
        <w:t>., 2016; Rodrik, 2015).</w:t>
      </w:r>
      <w:r w:rsidRPr="00A74402">
        <w:rPr>
          <w:rFonts w:ascii="Times New Roman" w:hAnsi="Times New Roman" w:cs="Times New Roman"/>
          <w:sz w:val="24"/>
          <w:szCs w:val="24"/>
        </w:rPr>
        <w:t xml:space="preserve"> Chile se incorporó fuertemente a esta tendencia desde 1999. Esto implica el predominio de una actitud “financierista” sobre un enfoque “productivista”. </w:t>
      </w:r>
    </w:p>
    <w:p w14:paraId="6B306572" w14:textId="77777777" w:rsidR="0040070D" w:rsidRPr="00A74402" w:rsidRDefault="0040070D" w:rsidP="0040070D">
      <w:pPr>
        <w:rPr>
          <w:rFonts w:ascii="Times New Roman" w:hAnsi="Times New Roman" w:cs="Times New Roman"/>
        </w:rPr>
      </w:pPr>
    </w:p>
    <w:p w14:paraId="3AB0A7D2" w14:textId="77777777" w:rsidR="0040070D" w:rsidRPr="00A74402" w:rsidRDefault="0040070D" w:rsidP="0040070D">
      <w:pPr>
        <w:pStyle w:val="Textoindependiente"/>
        <w:widowControl/>
        <w:contextualSpacing/>
        <w:rPr>
          <w:rFonts w:ascii="Times New Roman" w:hAnsi="Times New Roman"/>
          <w:b/>
          <w:snapToGrid/>
          <w:sz w:val="28"/>
          <w:szCs w:val="28"/>
          <w:lang w:val="es-CL"/>
        </w:rPr>
      </w:pPr>
      <w:r w:rsidRPr="00A74402">
        <w:rPr>
          <w:rFonts w:ascii="Times New Roman" w:hAnsi="Times New Roman"/>
          <w:b/>
          <w:snapToGrid/>
          <w:sz w:val="28"/>
          <w:szCs w:val="28"/>
          <w:lang w:val="es-CL"/>
        </w:rPr>
        <w:t>2. Evolución sectorial de la formación de capital y el crecimiento</w:t>
      </w:r>
    </w:p>
    <w:p w14:paraId="43902C0D" w14:textId="77777777" w:rsidR="00931A70" w:rsidRDefault="00931A70" w:rsidP="0040070D">
      <w:pPr>
        <w:keepNext/>
        <w:tabs>
          <w:tab w:val="left" w:pos="-720"/>
        </w:tabs>
        <w:suppressAutoHyphens/>
        <w:contextualSpacing/>
        <w:rPr>
          <w:rFonts w:ascii="Times New Roman" w:hAnsi="Times New Roman" w:cs="Times New Roman"/>
          <w:sz w:val="24"/>
        </w:rPr>
      </w:pPr>
    </w:p>
    <w:p w14:paraId="281923DE" w14:textId="77777777"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La FBKF en los diversos sectores de la economía chilena está determinada por variables comunes a toda decisión de inversión tales como la brecha entre PIB efectivo y potencial, la demanda efectiva externa e interna, la densidad de los eslabonamientos con otros sectores (Hirschman, 1958), la evolución del tipo de cambio, la calidad del mercado de capitales de largo plazo y los flujos financieros. Pero, también son determinantes las estrategias de los grupos económicos y las empresas que siempre están evaluando la asignación de recursos hacia inversiones productivas o financieras, sea en Chile o en el extranjero. Al mismo tiempo, hay determinantes institucionales tales como la política macroeconómica, las políticas de desarrollo, las regulaciones en los servicios de utilidad pública, las regulaciones ambientales y la tributación. En algunos sectores como la infraestructura de transporte, también inciden las inversiones públicas y el dinamismo del sistema de concesiones, que en Chile se consolidó hacia mediados de los años noventa.</w:t>
      </w:r>
    </w:p>
    <w:p w14:paraId="79164308" w14:textId="2E0BB418"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Se dispone de series largas desagregadas de FBKF por sector a precios encadenados</w:t>
      </w:r>
      <w:r w:rsidR="0079502B" w:rsidRPr="00A74402">
        <w:rPr>
          <w:rFonts w:ascii="Times New Roman" w:hAnsi="Times New Roman" w:cs="Times New Roman"/>
          <w:sz w:val="24"/>
        </w:rPr>
        <w:t xml:space="preserve">, </w:t>
      </w:r>
      <w:r w:rsidRPr="00A74402">
        <w:rPr>
          <w:rFonts w:ascii="Times New Roman" w:hAnsi="Times New Roman" w:cs="Times New Roman"/>
          <w:sz w:val="24"/>
        </w:rPr>
        <w:t xml:space="preserve"> referencia 2008. Empalmando con datos disponibles para el 2015 y 2016, hemos construido una serie 1990-2016 que se expone en el gráfico 5.</w:t>
      </w:r>
      <w:r w:rsidRPr="00A74402">
        <w:rPr>
          <w:rStyle w:val="Refdenotaalpie"/>
          <w:rFonts w:ascii="Times New Roman" w:hAnsi="Times New Roman" w:cs="Times New Roman"/>
          <w:sz w:val="24"/>
        </w:rPr>
        <w:footnoteReference w:id="12"/>
      </w:r>
      <w:r w:rsidRPr="00A74402">
        <w:rPr>
          <w:rFonts w:ascii="Times New Roman" w:hAnsi="Times New Roman" w:cs="Times New Roman"/>
          <w:sz w:val="24"/>
        </w:rPr>
        <w:t xml:space="preserve"> Esta información permite destacar dos sectores que en 1990-03 representaron en promedio el 34,0% de la FBKF total, porcentaje que se elevó a 48,3% en 2004-16.</w:t>
      </w:r>
    </w:p>
    <w:p w14:paraId="063C4E46" w14:textId="77777777"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r>
      <w:r w:rsidRPr="00A74402">
        <w:rPr>
          <w:rFonts w:ascii="Times New Roman" w:hAnsi="Times New Roman" w:cs="Times New Roman"/>
          <w:sz w:val="24"/>
        </w:rPr>
        <w:tab/>
      </w:r>
      <w:r w:rsidRPr="00A74402">
        <w:rPr>
          <w:rFonts w:ascii="Times New Roman" w:hAnsi="Times New Roman" w:cs="Times New Roman"/>
          <w:sz w:val="24"/>
        </w:rPr>
        <w:tab/>
      </w:r>
      <w:r w:rsidRPr="00A74402">
        <w:rPr>
          <w:rFonts w:ascii="Times New Roman" w:hAnsi="Times New Roman" w:cs="Times New Roman"/>
          <w:sz w:val="24"/>
        </w:rPr>
        <w:tab/>
      </w:r>
      <w:r w:rsidRPr="00A74402">
        <w:rPr>
          <w:rFonts w:ascii="Times New Roman" w:hAnsi="Times New Roman" w:cs="Times New Roman"/>
          <w:sz w:val="24"/>
        </w:rPr>
        <w:tab/>
        <w:t xml:space="preserve">     Gráfico 5</w:t>
      </w:r>
    </w:p>
    <w:p w14:paraId="32ADAD7D" w14:textId="0D529A3F" w:rsidR="0040070D" w:rsidRPr="00A74402" w:rsidRDefault="005F721E"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r>
      <w:r w:rsidR="0040070D" w:rsidRPr="00A74402">
        <w:rPr>
          <w:rFonts w:ascii="Times New Roman" w:hAnsi="Times New Roman" w:cs="Times New Roman"/>
          <w:sz w:val="24"/>
        </w:rPr>
        <w:t>Uno, la explotación y procesamiento de recursos naturales que, en promedio, representó 18,2% de la FBKF del período 1990-03, porcentaje que se elevaría a 25,3% en 2004-2016, liderado por la expansión de la inversión minera. Dos, la inversión agregada en infraestructura física, de transporte, sanitaria, gas, combustible, eléctrica y de telecomunicaciones</w:t>
      </w:r>
      <w:r w:rsidR="00283164" w:rsidRPr="00A74402">
        <w:rPr>
          <w:rFonts w:ascii="Times New Roman" w:hAnsi="Times New Roman" w:cs="Times New Roman"/>
          <w:sz w:val="24"/>
        </w:rPr>
        <w:t>, que</w:t>
      </w:r>
      <w:r w:rsidR="0040070D" w:rsidRPr="00A74402">
        <w:rPr>
          <w:rFonts w:ascii="Times New Roman" w:hAnsi="Times New Roman" w:cs="Times New Roman"/>
          <w:sz w:val="24"/>
        </w:rPr>
        <w:t xml:space="preserve"> representó el 15,8% de la FBKF en 1990-03, elevándose a 23,0% en 2004-16. La evolución de estos dos sectores contrasta con la evolución de la FBKF industrial, que en 1990-2003 representó el 8,8% de la FBKF total, para luego reducirse al 6,9% en 2004-16. </w:t>
      </w:r>
    </w:p>
    <w:p w14:paraId="386505B8" w14:textId="016232F8"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r>
      <w:r w:rsidR="005C18A9" w:rsidRPr="00A74402">
        <w:rPr>
          <w:rFonts w:ascii="Times New Roman" w:hAnsi="Times New Roman" w:cs="Times New Roman"/>
          <w:sz w:val="24"/>
        </w:rPr>
        <w:t>Aquí caben</w:t>
      </w:r>
      <w:r w:rsidRPr="00A74402">
        <w:rPr>
          <w:rFonts w:ascii="Times New Roman" w:hAnsi="Times New Roman" w:cs="Times New Roman"/>
          <w:sz w:val="24"/>
        </w:rPr>
        <w:t xml:space="preserve"> dos afirmaciones.  La primera es que desde principios de la década pasada el país confronta un escenario de rendimientos decrecientes en la producción y exportación de bienes y servicios basados en RRNN, explicada principalmente por </w:t>
      </w:r>
      <w:r w:rsidR="00BE7B14" w:rsidRPr="00A74402">
        <w:rPr>
          <w:rFonts w:ascii="Times New Roman" w:hAnsi="Times New Roman" w:cs="Times New Roman"/>
          <w:sz w:val="24"/>
        </w:rPr>
        <w:t>el deterioro de la calidad de los recursos naturales</w:t>
      </w:r>
      <w:r w:rsidRPr="00A74402">
        <w:rPr>
          <w:rFonts w:ascii="Times New Roman" w:hAnsi="Times New Roman" w:cs="Times New Roman"/>
          <w:sz w:val="24"/>
        </w:rPr>
        <w:t xml:space="preserve"> y de la capacidad de la naturaleza para otorgar servicios ambientales (sin precios en el mercado) para la recomposición de los ecosistemas (p. ej. H20), para la absorción de emisiones (p. ej. CO2, ozono, MP) y de residuos industriales líquidos y sólidos (RILES). </w:t>
      </w:r>
      <w:r w:rsidR="00BE7B14" w:rsidRPr="00A74402">
        <w:rPr>
          <w:rFonts w:ascii="Times New Roman" w:hAnsi="Times New Roman" w:cs="Times New Roman"/>
          <w:sz w:val="24"/>
        </w:rPr>
        <w:t>A e</w:t>
      </w:r>
      <w:r w:rsidR="00185ED4" w:rsidRPr="00A74402">
        <w:rPr>
          <w:rFonts w:ascii="Times New Roman" w:hAnsi="Times New Roman" w:cs="Times New Roman"/>
          <w:sz w:val="24"/>
        </w:rPr>
        <w:t>llo</w:t>
      </w:r>
      <w:r w:rsidR="00BE7B14" w:rsidRPr="00A74402">
        <w:rPr>
          <w:rFonts w:ascii="Times New Roman" w:hAnsi="Times New Roman" w:cs="Times New Roman"/>
          <w:sz w:val="24"/>
        </w:rPr>
        <w:t xml:space="preserve"> se suma</w:t>
      </w:r>
      <w:r w:rsidR="0056647C" w:rsidRPr="00A74402">
        <w:rPr>
          <w:rFonts w:ascii="Times New Roman" w:hAnsi="Times New Roman" w:cs="Times New Roman"/>
          <w:sz w:val="24"/>
        </w:rPr>
        <w:t>n</w:t>
      </w:r>
      <w:r w:rsidR="00BE7B14" w:rsidRPr="00A74402">
        <w:rPr>
          <w:rFonts w:ascii="Times New Roman" w:hAnsi="Times New Roman" w:cs="Times New Roman"/>
          <w:sz w:val="24"/>
        </w:rPr>
        <w:t xml:space="preserve"> </w:t>
      </w:r>
      <w:r w:rsidRPr="00A74402">
        <w:rPr>
          <w:rFonts w:ascii="Times New Roman" w:hAnsi="Times New Roman" w:cs="Times New Roman"/>
          <w:sz w:val="24"/>
        </w:rPr>
        <w:t xml:space="preserve">la creciente conflictividad ambiental </w:t>
      </w:r>
      <w:r w:rsidR="00BE7B14" w:rsidRPr="00A74402">
        <w:rPr>
          <w:rFonts w:ascii="Times New Roman" w:hAnsi="Times New Roman" w:cs="Times New Roman"/>
          <w:sz w:val="24"/>
        </w:rPr>
        <w:t xml:space="preserve">que </w:t>
      </w:r>
      <w:r w:rsidRPr="00A74402">
        <w:rPr>
          <w:rFonts w:ascii="Times New Roman" w:hAnsi="Times New Roman" w:cs="Times New Roman"/>
          <w:sz w:val="24"/>
        </w:rPr>
        <w:t>eleva los costos y tiempos de maduración de las inversiones</w:t>
      </w:r>
      <w:r w:rsidR="00BE7B14" w:rsidRPr="00A74402">
        <w:rPr>
          <w:rFonts w:ascii="Times New Roman" w:hAnsi="Times New Roman" w:cs="Times New Roman"/>
          <w:sz w:val="24"/>
        </w:rPr>
        <w:t xml:space="preserve"> en la minería, el sector forestal, la producción acuícola y la pesca</w:t>
      </w:r>
      <w:r w:rsidR="00E13BBD" w:rsidRPr="00A74402">
        <w:rPr>
          <w:rFonts w:ascii="Times New Roman" w:hAnsi="Times New Roman" w:cs="Times New Roman"/>
          <w:sz w:val="24"/>
        </w:rPr>
        <w:t>,  el desvío de fondos y energía empresarial hacia la interna</w:t>
      </w:r>
      <w:r w:rsidR="00A308D7" w:rsidRPr="00A74402">
        <w:rPr>
          <w:rFonts w:ascii="Times New Roman" w:hAnsi="Times New Roman" w:cs="Times New Roman"/>
          <w:sz w:val="24"/>
        </w:rPr>
        <w:t>ciona</w:t>
      </w:r>
      <w:r w:rsidR="00E13BBD" w:rsidRPr="00A74402">
        <w:rPr>
          <w:rFonts w:ascii="Times New Roman" w:hAnsi="Times New Roman" w:cs="Times New Roman"/>
          <w:sz w:val="24"/>
        </w:rPr>
        <w:t>lización y la fuerte instabilidad cambiaria</w:t>
      </w:r>
      <w:r w:rsidR="006502DC" w:rsidRPr="00A74402">
        <w:rPr>
          <w:rFonts w:ascii="Times New Roman" w:hAnsi="Times New Roman" w:cs="Times New Roman"/>
          <w:sz w:val="24"/>
        </w:rPr>
        <w:t xml:space="preserve"> que ha provocado la política adoptada desde 1999</w:t>
      </w:r>
      <w:r w:rsidR="00BE7B14" w:rsidRPr="00A74402">
        <w:rPr>
          <w:rFonts w:ascii="Times New Roman" w:hAnsi="Times New Roman" w:cs="Times New Roman"/>
          <w:sz w:val="24"/>
        </w:rPr>
        <w:t xml:space="preserve">. </w:t>
      </w:r>
      <w:r w:rsidRPr="00A74402">
        <w:rPr>
          <w:rFonts w:ascii="Times New Roman" w:hAnsi="Times New Roman" w:cs="Times New Roman"/>
          <w:sz w:val="24"/>
        </w:rPr>
        <w:t>Los únicos sectores que han logrado superar estrategias dinámicas de crecimiento son el frutícola y vitivinícola.</w:t>
      </w:r>
    </w:p>
    <w:p w14:paraId="111C6606" w14:textId="7101CA97"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Segundo, la política pública de inversiones ha perdido dinamismo en la última década respecto al que exhibió entre 1990 y 2005, en particular en cuanto a la capacidad de incentivar nuevas inversiones en infraestructura de transporte, energía, y de telecomunicaciones. Aun cuando, recientemente la recuperó en materia de inversiones en el sector eléctrico, no ha logrado emprender una oleada de inversiones en el sector de infraestructura de transporte ni de telecomunicaciones, particularmente infraestructura de banda ancha. Esto es enormemente preocupante, dado que las externalidades positivas de la inversión en infraestructura son mucho mayores que las inversiones en recursos naturales, particularmente porque abren nuevos espacios para la emergencia de nuevos sectores en regiones y en nuevos sub</w:t>
      </w:r>
      <w:r w:rsidR="00E233EE" w:rsidRPr="00A74402">
        <w:rPr>
          <w:rFonts w:ascii="Times New Roman" w:hAnsi="Times New Roman" w:cs="Times New Roman"/>
          <w:sz w:val="24"/>
        </w:rPr>
        <w:t>-</w:t>
      </w:r>
      <w:r w:rsidRPr="00A74402">
        <w:rPr>
          <w:rFonts w:ascii="Times New Roman" w:hAnsi="Times New Roman" w:cs="Times New Roman"/>
          <w:sz w:val="24"/>
        </w:rPr>
        <w:t>sectores intensivos en tecnología.</w:t>
      </w:r>
    </w:p>
    <w:p w14:paraId="7394C2E1" w14:textId="77777777" w:rsidR="00A94239" w:rsidRPr="00A74402" w:rsidRDefault="00A94239" w:rsidP="0040070D">
      <w:pPr>
        <w:keepNext/>
        <w:tabs>
          <w:tab w:val="left" w:pos="-720"/>
        </w:tabs>
        <w:suppressAutoHyphens/>
        <w:contextualSpacing/>
        <w:rPr>
          <w:rFonts w:ascii="Times New Roman" w:hAnsi="Times New Roman" w:cs="Times New Roman"/>
          <w:sz w:val="24"/>
        </w:rPr>
      </w:pPr>
    </w:p>
    <w:p w14:paraId="16A072EA" w14:textId="77777777" w:rsidR="00B34EF4" w:rsidRPr="00A74402" w:rsidRDefault="0040070D" w:rsidP="00B34EF4">
      <w:pPr>
        <w:pStyle w:val="Prrafodelista"/>
        <w:numPr>
          <w:ilvl w:val="0"/>
          <w:numId w:val="15"/>
        </w:numPr>
        <w:spacing w:line="276" w:lineRule="auto"/>
        <w:rPr>
          <w:rFonts w:ascii="Times New Roman" w:hAnsi="Times New Roman" w:cs="Times New Roman"/>
          <w:sz w:val="24"/>
        </w:rPr>
      </w:pPr>
      <w:r w:rsidRPr="00A74402">
        <w:rPr>
          <w:rFonts w:ascii="Times New Roman" w:hAnsi="Times New Roman" w:cs="Times New Roman"/>
          <w:b/>
          <w:i/>
          <w:iCs/>
          <w:sz w:val="28"/>
          <w:szCs w:val="28"/>
        </w:rPr>
        <w:t>Rendimientos decrecientes en la producción de recursos naturales</w:t>
      </w:r>
    </w:p>
    <w:p w14:paraId="0F50FBB3" w14:textId="77777777"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 xml:space="preserve">Desde principios de la década del 2000 se observa un </w:t>
      </w:r>
      <w:r w:rsidRPr="00A74402">
        <w:rPr>
          <w:rFonts w:ascii="Times New Roman" w:hAnsi="Times New Roman" w:cs="Times New Roman"/>
          <w:i/>
          <w:sz w:val="24"/>
        </w:rPr>
        <w:t>ciclo</w:t>
      </w:r>
      <w:r w:rsidRPr="00A74402">
        <w:rPr>
          <w:rFonts w:ascii="Times New Roman" w:hAnsi="Times New Roman" w:cs="Times New Roman"/>
          <w:sz w:val="24"/>
        </w:rPr>
        <w:t xml:space="preserve"> de rendimientos decrecientes en la producción de bienes basados en recursos naturales renovables y no-renovables. Esto se debe a dos factores. Por un lado, a la pérdida de densidad por unidad de volumen o de superficie (p. ej. kg de productos metálicos y no metálicos por TM de roca, ilustrada por la caída en las leyes de los yacimientos de cobre ya expuesta; TM de capturas pesqueras y producción acuícola por km2 de superficie marítima o acuática, M3 de madera por hectárea, etcétera). También se debe a la pérdida de capacidad de la naturaleza en facilitar </w:t>
      </w:r>
      <w:r w:rsidRPr="00A74402">
        <w:rPr>
          <w:rFonts w:ascii="Times New Roman" w:hAnsi="Times New Roman" w:cs="Times New Roman"/>
          <w:i/>
          <w:sz w:val="24"/>
        </w:rPr>
        <w:t>servicios ambientales</w:t>
      </w:r>
      <w:r w:rsidRPr="00A74402">
        <w:rPr>
          <w:rFonts w:ascii="Times New Roman" w:hAnsi="Times New Roman" w:cs="Times New Roman"/>
          <w:sz w:val="24"/>
        </w:rPr>
        <w:t xml:space="preserve"> para reponer ecosistemas, para abastecer con recursos hídricos la producción agrícola y el procesamiento de materias primas, así como para absorber residuos líquidos, sólidos y emisiones. </w:t>
      </w:r>
    </w:p>
    <w:p w14:paraId="6EADC038" w14:textId="4AD9DA09"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 xml:space="preserve">Chile ha confrontado en el pasado otros ciclos de escasez creciente de materias primas que, eventualmente, fueron sorteados mediante el descubrimiento de nuevas reservas, el desarrollo de nuevos productos demandados por el mercado mundial y el progreso tecnológico. Sin embargo, con excepción de la producción hortofrutícola y vitivinícola, el país </w:t>
      </w:r>
      <w:r w:rsidR="0078566E" w:rsidRPr="00A74402">
        <w:rPr>
          <w:rFonts w:ascii="Times New Roman" w:hAnsi="Times New Roman" w:cs="Times New Roman"/>
          <w:sz w:val="24"/>
        </w:rPr>
        <w:t>e</w:t>
      </w:r>
      <w:r w:rsidRPr="00A74402">
        <w:rPr>
          <w:rFonts w:ascii="Times New Roman" w:hAnsi="Times New Roman" w:cs="Times New Roman"/>
          <w:sz w:val="24"/>
        </w:rPr>
        <w:t>nfr</w:t>
      </w:r>
      <w:r w:rsidR="0078566E" w:rsidRPr="00A74402">
        <w:rPr>
          <w:rFonts w:ascii="Times New Roman" w:hAnsi="Times New Roman" w:cs="Times New Roman"/>
          <w:sz w:val="24"/>
        </w:rPr>
        <w:t>e</w:t>
      </w:r>
      <w:r w:rsidRPr="00A74402">
        <w:rPr>
          <w:rFonts w:ascii="Times New Roman" w:hAnsi="Times New Roman" w:cs="Times New Roman"/>
          <w:sz w:val="24"/>
        </w:rPr>
        <w:t xml:space="preserve">nta ahora límites que no conocía. Durante la última década se observa un cuasi estancamiento en el crecimiento de las plantaciones forestales. Asimismo, desde mediados de los noventa se deteriora la biomasa marina disponible para la pesca y Chile ya no dispone de nuevos espacios oceánicos con alta densidad pesquera. Del mismo modo, la retomada del crecimiento de la producción acuícola no podrá realizarse en base al antiguo régimen de producción que entró en crisis el año 2007. Y no menos importante, será difícil que se repita el extraordinario ciclo de apertura de casi 30 nuevos yacimientos </w:t>
      </w:r>
      <w:r w:rsidRPr="00A74402">
        <w:rPr>
          <w:rFonts w:ascii="Times New Roman" w:hAnsi="Times New Roman" w:cs="Times New Roman"/>
          <w:i/>
          <w:sz w:val="24"/>
        </w:rPr>
        <w:t>greenfield</w:t>
      </w:r>
      <w:r w:rsidRPr="00A74402">
        <w:rPr>
          <w:rFonts w:ascii="Times New Roman" w:hAnsi="Times New Roman" w:cs="Times New Roman"/>
          <w:sz w:val="24"/>
        </w:rPr>
        <w:t xml:space="preserve">, lo que constituye un fenómeno mundial. </w:t>
      </w:r>
    </w:p>
    <w:p w14:paraId="0813CCD7" w14:textId="228E6436"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 xml:space="preserve">La superación del ciclo de rendimientos decrecientes en RRNN no sólo requiere de la incorporación de tecnologías de proceso avanzadas, sino que también depende de inversiones complementarias en la desalinización de recursos hídricos, en la minimización de RILES y emisiones, así como en inversiones socio-ambientales para superar la creciente conflictividad entre empresas y comunidades que colindan con los centros de explotación de recursos naturales. En efecto, un documento del Consejo Nacional de Innovación para el Desarrollo (CNID, 2017) señala que Chile es el quinto país del mundo en conflictos ambientales por cada 100 mil habitantes. La superación de esta problemática, requiere de una institucionalidad más avanzada que la existente hoy en Chile: tanto para fomentar la ciencia y la innovación, como para combinar mercados competitivos con mecanismos institucionales que faciliten acuerdos entre los sectores públicos, privado y la sociedad civil. </w:t>
      </w:r>
    </w:p>
    <w:p w14:paraId="4DF696E1" w14:textId="6CC5FF75"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Habiendo ya tratado el caso de la minería, se analiza</w:t>
      </w:r>
      <w:r w:rsidR="00A44628" w:rsidRPr="00A74402">
        <w:rPr>
          <w:rFonts w:ascii="Times New Roman" w:hAnsi="Times New Roman" w:cs="Times New Roman"/>
          <w:sz w:val="24"/>
        </w:rPr>
        <w:t>n</w:t>
      </w:r>
      <w:r w:rsidRPr="00A74402">
        <w:rPr>
          <w:rFonts w:ascii="Times New Roman" w:hAnsi="Times New Roman" w:cs="Times New Roman"/>
          <w:sz w:val="24"/>
        </w:rPr>
        <w:t xml:space="preserve"> con mayor detalle los sub</w:t>
      </w:r>
      <w:r w:rsidR="00E233EE" w:rsidRPr="00A74402">
        <w:rPr>
          <w:rFonts w:ascii="Times New Roman" w:hAnsi="Times New Roman" w:cs="Times New Roman"/>
          <w:sz w:val="24"/>
        </w:rPr>
        <w:t>-</w:t>
      </w:r>
      <w:r w:rsidRPr="00A74402">
        <w:rPr>
          <w:rFonts w:ascii="Times New Roman" w:hAnsi="Times New Roman" w:cs="Times New Roman"/>
          <w:sz w:val="24"/>
        </w:rPr>
        <w:t>sectores forestal, pesquero, salmonero, frutícola y vitivinícola. Aunque el B</w:t>
      </w:r>
      <w:r w:rsidR="008143E2" w:rsidRPr="00A74402">
        <w:rPr>
          <w:rFonts w:ascii="Times New Roman" w:hAnsi="Times New Roman" w:cs="Times New Roman"/>
          <w:sz w:val="24"/>
        </w:rPr>
        <w:t>anco Central</w:t>
      </w:r>
      <w:r w:rsidRPr="00A74402">
        <w:rPr>
          <w:rFonts w:ascii="Times New Roman" w:hAnsi="Times New Roman" w:cs="Times New Roman"/>
          <w:sz w:val="24"/>
        </w:rPr>
        <w:t xml:space="preserve"> no dispone de series de FBKF</w:t>
      </w:r>
      <w:r w:rsidR="00656889" w:rsidRPr="00A74402">
        <w:rPr>
          <w:rFonts w:ascii="Times New Roman" w:hAnsi="Times New Roman" w:cs="Times New Roman"/>
          <w:sz w:val="24"/>
        </w:rPr>
        <w:t xml:space="preserve"> tan desagregadas</w:t>
      </w:r>
      <w:r w:rsidRPr="00A74402">
        <w:rPr>
          <w:rFonts w:ascii="Times New Roman" w:hAnsi="Times New Roman" w:cs="Times New Roman"/>
          <w:sz w:val="24"/>
        </w:rPr>
        <w:t xml:space="preserve">, los cambios en las tasas de crecimiento de la producción física entregan evidencia indirecta de la dinámica de inversión, al tiempo que informaciones cualitativas permiten construir un panorama del proceso que se vive en los sectores basados en RRNN. </w:t>
      </w:r>
    </w:p>
    <w:p w14:paraId="1226EFDB" w14:textId="0EC1158B"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r>
      <w:r w:rsidR="00A74402" w:rsidRPr="00A74402">
        <w:rPr>
          <w:rFonts w:ascii="Times New Roman" w:hAnsi="Times New Roman" w:cs="Times New Roman"/>
          <w:sz w:val="24"/>
        </w:rPr>
        <w:t xml:space="preserve">En el sector forestal, la tasa anual de crecimiento del stock de plantaciones forestales se redujo desde 6,2% en 1978-1989, a 2,8% en 1990-2003 y a 1,3% anual en 2004-2016 (ver gráfico 6). Las causas principales son el agotamiento de la frontera forestal en el territorio chileno, la restricción de recursos hídricos, el costo de la energía en relación a otros países latinoamericanos, la creciente demanda medioambiental de la población y los conflictos sociales en el sur de Chile. La respuesta estratégica de los grupos económicos (p. ej. los grupos Matte y Angelini) fue la internacionalización mediante inversiones en el norte de Argentina, Uruguay y el sur de Brasil con el mismo paquete tecnológico y modelo de negocios desarrollado en Chile, pero también aprovechando incentivos tributarios de estos países vecinos.  La costa atlántica de América del Sur tiene puertos con una distancia relativa similar a los grandes mercados asiáticos que los puertos chilenos, pero además la producción forestal en esos países enfrenta menores costos de energía y presenta importantes rentas ricardianas respecto a Chile. Por ejemplo, en Brasil  la especie forestal eucaliptus madura en la </w:t>
      </w:r>
      <w:r w:rsidRPr="00A74402">
        <w:rPr>
          <w:rFonts w:ascii="Times New Roman" w:hAnsi="Times New Roman" w:cs="Times New Roman"/>
          <w:sz w:val="24"/>
        </w:rPr>
        <w:t xml:space="preserve">mitad del tiempo que el eucaliptus en Chile. </w:t>
      </w:r>
    </w:p>
    <w:p w14:paraId="7ACC51E3" w14:textId="5D202192" w:rsidR="0040070D" w:rsidRPr="00A74402" w:rsidRDefault="008D0BBF" w:rsidP="005E5EC4">
      <w:pPr>
        <w:keepNext/>
        <w:tabs>
          <w:tab w:val="left" w:pos="-720"/>
        </w:tabs>
        <w:suppressAutoHyphens/>
        <w:contextualSpacing/>
        <w:jc w:val="center"/>
        <w:rPr>
          <w:rFonts w:ascii="Times New Roman" w:hAnsi="Times New Roman" w:cs="Times New Roman"/>
          <w:sz w:val="24"/>
        </w:rPr>
      </w:pPr>
      <w:r w:rsidRPr="00A74402">
        <w:rPr>
          <w:rFonts w:ascii="Times New Roman" w:hAnsi="Times New Roman" w:cs="Times New Roman"/>
          <w:sz w:val="24"/>
        </w:rPr>
        <w:t>Gráfico 6</w:t>
      </w:r>
    </w:p>
    <w:p w14:paraId="0B6E6D8D" w14:textId="588C82B3"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 xml:space="preserve">En </w:t>
      </w:r>
      <w:r w:rsidR="00580B73" w:rsidRPr="00A74402">
        <w:rPr>
          <w:rFonts w:ascii="Times New Roman" w:hAnsi="Times New Roman" w:cs="Times New Roman"/>
          <w:sz w:val="24"/>
        </w:rPr>
        <w:t>consecuencia</w:t>
      </w:r>
      <w:r w:rsidRPr="00A74402">
        <w:rPr>
          <w:rFonts w:ascii="Times New Roman" w:hAnsi="Times New Roman" w:cs="Times New Roman"/>
          <w:sz w:val="24"/>
        </w:rPr>
        <w:t xml:space="preserve">, hubo un cuasi estancamiento en plantaciones forestales en torno a 100 mil hectáreas anuales, </w:t>
      </w:r>
      <w:r w:rsidR="00736600" w:rsidRPr="00A74402">
        <w:rPr>
          <w:rFonts w:ascii="Times New Roman" w:hAnsi="Times New Roman" w:cs="Times New Roman"/>
          <w:sz w:val="24"/>
        </w:rPr>
        <w:t xml:space="preserve">casi toda mediante </w:t>
      </w:r>
      <w:r w:rsidRPr="00A74402">
        <w:rPr>
          <w:rFonts w:ascii="Times New Roman" w:hAnsi="Times New Roman" w:cs="Times New Roman"/>
          <w:sz w:val="24"/>
        </w:rPr>
        <w:t>reforestación. Ell</w:t>
      </w:r>
      <w:r w:rsidR="008D0BBF" w:rsidRPr="00A74402">
        <w:rPr>
          <w:rFonts w:ascii="Times New Roman" w:hAnsi="Times New Roman" w:cs="Times New Roman"/>
          <w:sz w:val="24"/>
        </w:rPr>
        <w:t>o</w:t>
      </w:r>
      <w:r w:rsidRPr="00A74402">
        <w:rPr>
          <w:rFonts w:ascii="Times New Roman" w:hAnsi="Times New Roman" w:cs="Times New Roman"/>
          <w:sz w:val="24"/>
        </w:rPr>
        <w:t xml:space="preserve"> fue acompañad</w:t>
      </w:r>
      <w:r w:rsidR="008D0BBF" w:rsidRPr="00A74402">
        <w:rPr>
          <w:rFonts w:ascii="Times New Roman" w:hAnsi="Times New Roman" w:cs="Times New Roman"/>
          <w:sz w:val="24"/>
        </w:rPr>
        <w:t>o</w:t>
      </w:r>
      <w:r w:rsidRPr="00A74402">
        <w:rPr>
          <w:rFonts w:ascii="Times New Roman" w:hAnsi="Times New Roman" w:cs="Times New Roman"/>
          <w:sz w:val="24"/>
        </w:rPr>
        <w:t xml:space="preserve"> por una reducción significativa de la tasa anual de crecimiento de la producción de algunos subproductos forestales. Si se compara 1990-03 con 2004-16, el crecimiento de la producción física de celulosa disminuyó desde 9,9% a 3,7% anual, la de papel desde 6,9% a 0,4%, mientras que la de tableros y chapas, disminuyó desde 13,1% a 4,3% (ver gráfico </w:t>
      </w:r>
      <w:r w:rsidR="00C35538" w:rsidRPr="00A74402">
        <w:rPr>
          <w:rFonts w:ascii="Times New Roman" w:hAnsi="Times New Roman" w:cs="Times New Roman"/>
          <w:sz w:val="24"/>
        </w:rPr>
        <w:t>6</w:t>
      </w:r>
      <w:r w:rsidRPr="00A74402">
        <w:rPr>
          <w:rFonts w:ascii="Times New Roman" w:hAnsi="Times New Roman" w:cs="Times New Roman"/>
          <w:sz w:val="24"/>
        </w:rPr>
        <w:t>).  Por cierto, conviene insistir que ello no se explica sólo por el literal estancamiento de las</w:t>
      </w:r>
      <w:r w:rsidR="00537316" w:rsidRPr="00A74402">
        <w:rPr>
          <w:rFonts w:ascii="Times New Roman" w:hAnsi="Times New Roman" w:cs="Times New Roman"/>
          <w:sz w:val="24"/>
        </w:rPr>
        <w:t xml:space="preserve">                                  </w:t>
      </w:r>
      <w:r w:rsidRPr="00A74402">
        <w:rPr>
          <w:rFonts w:ascii="Times New Roman" w:hAnsi="Times New Roman" w:cs="Times New Roman"/>
          <w:sz w:val="24"/>
        </w:rPr>
        <w:t xml:space="preserve"> plantaciones forestales, sino por la evolución del tipo de cambio y la internacionalización de las inversiones forestales.</w:t>
      </w:r>
    </w:p>
    <w:p w14:paraId="0B8CA303" w14:textId="3305982D"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r>
      <w:r w:rsidR="00A74402" w:rsidRPr="00A74402">
        <w:rPr>
          <w:rFonts w:ascii="Times New Roman" w:hAnsi="Times New Roman" w:cs="Times New Roman"/>
          <w:sz w:val="24"/>
        </w:rPr>
        <w:t>En el sector pesquero, las capturas de pesca industrial en Chile han decrecido desde mediados de los años noventa. En el 2016 fueron equivalentes a las de 1978-79. A pesar de que la demanda mundial crece ininterrumpidamente, el colapso de la biomasa marina frenó radicalmente el gran impulso que esta actividad exhibió en 1965-1985, cuando creció a una tasa media de 10,2% anual. Ello contrasta con el decrecimiento desde 1995, con una caída media de 8,3% en 1995-2003 y de 6,6% en 2004-2016 (ver gráfico 7). Esto ha provocado una destrucción y reconversión del stock de capital: se ha reducido el número de embarcaciones pesqueras industriales en el norte, mientras que en el sur hubo una reconversión hacia la actividad acuícola y hacia crustáceos y moluscos, principalmente vía el crecimiento del stock de embarcaciones pesqueras artesanales, muchas de las cuales resultaron de la reconversión desde naves pesqueras industriales para cumplir con la normativa legal que exige un máximo de 18 metros de eslora. Gracias a ello, la participación del sector artesanal en las capturas totales -incluyendo pescados, moluscos, crustáceos- aumentó desde 8,2% hasta 62,6% entre 1990 y 2017. Esto constituyó una transformación estructural del sector pesquero extractivo en Chile.</w:t>
      </w:r>
      <w:r w:rsidR="00A74402" w:rsidRPr="00A74402">
        <w:rPr>
          <w:rStyle w:val="Refdenotaalpie"/>
          <w:rFonts w:ascii="Times New Roman" w:hAnsi="Times New Roman" w:cs="Times New Roman"/>
          <w:sz w:val="24"/>
        </w:rPr>
        <w:footnoteReference w:id="13"/>
      </w:r>
    </w:p>
    <w:p w14:paraId="6658C973" w14:textId="78888F98" w:rsidR="0040070D" w:rsidRPr="00A74402" w:rsidRDefault="00537316"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r>
      <w:r w:rsidRPr="00A74402">
        <w:rPr>
          <w:rFonts w:ascii="Times New Roman" w:hAnsi="Times New Roman" w:cs="Times New Roman"/>
          <w:sz w:val="24"/>
        </w:rPr>
        <w:tab/>
      </w:r>
      <w:r w:rsidRPr="00A74402">
        <w:rPr>
          <w:rFonts w:ascii="Times New Roman" w:hAnsi="Times New Roman" w:cs="Times New Roman"/>
          <w:sz w:val="24"/>
        </w:rPr>
        <w:tab/>
      </w:r>
      <w:r w:rsidRPr="00A74402">
        <w:rPr>
          <w:rFonts w:ascii="Times New Roman" w:hAnsi="Times New Roman" w:cs="Times New Roman"/>
          <w:sz w:val="24"/>
        </w:rPr>
        <w:tab/>
      </w:r>
      <w:r w:rsidRPr="00A74402">
        <w:rPr>
          <w:rFonts w:ascii="Times New Roman" w:hAnsi="Times New Roman" w:cs="Times New Roman"/>
          <w:sz w:val="24"/>
        </w:rPr>
        <w:tab/>
      </w:r>
      <w:r w:rsidR="0040070D" w:rsidRPr="00A74402">
        <w:rPr>
          <w:rFonts w:ascii="Times New Roman" w:hAnsi="Times New Roman" w:cs="Times New Roman"/>
          <w:sz w:val="24"/>
        </w:rPr>
        <w:t>G</w:t>
      </w:r>
      <w:r w:rsidR="00A74402">
        <w:rPr>
          <w:rFonts w:ascii="Times New Roman" w:hAnsi="Times New Roman" w:cs="Times New Roman"/>
          <w:sz w:val="24"/>
        </w:rPr>
        <w:t>ráfico</w:t>
      </w:r>
      <w:r w:rsidR="0040070D" w:rsidRPr="00A74402">
        <w:rPr>
          <w:rFonts w:ascii="Times New Roman" w:hAnsi="Times New Roman" w:cs="Times New Roman"/>
          <w:sz w:val="24"/>
        </w:rPr>
        <w:t xml:space="preserve"> </w:t>
      </w:r>
      <w:r w:rsidR="002C2D4B" w:rsidRPr="00A74402">
        <w:rPr>
          <w:rFonts w:ascii="Times New Roman" w:hAnsi="Times New Roman" w:cs="Times New Roman"/>
          <w:sz w:val="24"/>
        </w:rPr>
        <w:t>7</w:t>
      </w:r>
    </w:p>
    <w:p w14:paraId="4BE62A16" w14:textId="496494E2"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 xml:space="preserve">En el sector acuícola, la crisis del virus en el 2007 que provocó la anemia infecciosa del salmón (ISA) determinó un colapso y luego estancamiento estructural de esta actividad, dado que el modelo de producción había generado una sobrecarga sobre las aguas de lagos y canales marinos (ver gráfico </w:t>
      </w:r>
      <w:r w:rsidR="00C35538" w:rsidRPr="00A74402">
        <w:rPr>
          <w:rFonts w:ascii="Times New Roman" w:hAnsi="Times New Roman" w:cs="Times New Roman"/>
          <w:sz w:val="24"/>
        </w:rPr>
        <w:t>8</w:t>
      </w:r>
      <w:r w:rsidRPr="00A74402">
        <w:rPr>
          <w:rFonts w:ascii="Times New Roman" w:hAnsi="Times New Roman" w:cs="Times New Roman"/>
          <w:sz w:val="24"/>
        </w:rPr>
        <w:t xml:space="preserve">). En efecto, si la tasa anual de crecimiento de la producción acuícola fue de </w:t>
      </w:r>
      <w:r w:rsidR="002C2D4B" w:rsidRPr="00A74402">
        <w:rPr>
          <w:rFonts w:ascii="Times New Roman" w:hAnsi="Times New Roman" w:cs="Times New Roman"/>
          <w:sz w:val="24"/>
        </w:rPr>
        <w:t>30,</w:t>
      </w:r>
      <w:r w:rsidR="00003A2B" w:rsidRPr="00A74402">
        <w:rPr>
          <w:rFonts w:ascii="Times New Roman" w:hAnsi="Times New Roman" w:cs="Times New Roman"/>
          <w:sz w:val="24"/>
        </w:rPr>
        <w:t>6</w:t>
      </w:r>
      <w:r w:rsidRPr="00A74402">
        <w:rPr>
          <w:rFonts w:ascii="Times New Roman" w:hAnsi="Times New Roman" w:cs="Times New Roman"/>
          <w:sz w:val="24"/>
        </w:rPr>
        <w:t xml:space="preserve">% </w:t>
      </w:r>
      <w:r w:rsidR="00A30C7F" w:rsidRPr="00A74402">
        <w:rPr>
          <w:rFonts w:ascii="Times New Roman" w:hAnsi="Times New Roman" w:cs="Times New Roman"/>
          <w:sz w:val="24"/>
        </w:rPr>
        <w:t>en</w:t>
      </w:r>
      <w:r w:rsidR="002C2D4B" w:rsidRPr="00A74402">
        <w:rPr>
          <w:rFonts w:ascii="Times New Roman" w:hAnsi="Times New Roman" w:cs="Times New Roman"/>
          <w:sz w:val="24"/>
        </w:rPr>
        <w:t xml:space="preserve"> </w:t>
      </w:r>
      <w:r w:rsidRPr="00A74402">
        <w:rPr>
          <w:rFonts w:ascii="Times New Roman" w:hAnsi="Times New Roman" w:cs="Times New Roman"/>
          <w:sz w:val="24"/>
        </w:rPr>
        <w:t>1990-200</w:t>
      </w:r>
      <w:r w:rsidR="002C2D4B" w:rsidRPr="00A74402">
        <w:rPr>
          <w:rFonts w:ascii="Times New Roman" w:hAnsi="Times New Roman" w:cs="Times New Roman"/>
          <w:sz w:val="24"/>
        </w:rPr>
        <w:t>3</w:t>
      </w:r>
      <w:r w:rsidRPr="00A74402">
        <w:rPr>
          <w:rFonts w:ascii="Times New Roman" w:hAnsi="Times New Roman" w:cs="Times New Roman"/>
          <w:sz w:val="24"/>
        </w:rPr>
        <w:t xml:space="preserve">, ésta disminuyó a </w:t>
      </w:r>
      <w:r w:rsidR="002C2D4B" w:rsidRPr="00A74402">
        <w:rPr>
          <w:rFonts w:ascii="Times New Roman" w:hAnsi="Times New Roman" w:cs="Times New Roman"/>
          <w:sz w:val="24"/>
        </w:rPr>
        <w:t>3</w:t>
      </w:r>
      <w:r w:rsidRPr="00A74402">
        <w:rPr>
          <w:rFonts w:ascii="Times New Roman" w:hAnsi="Times New Roman" w:cs="Times New Roman"/>
          <w:sz w:val="24"/>
        </w:rPr>
        <w:t>,</w:t>
      </w:r>
      <w:r w:rsidR="002C2D4B" w:rsidRPr="00A74402">
        <w:rPr>
          <w:rFonts w:ascii="Times New Roman" w:hAnsi="Times New Roman" w:cs="Times New Roman"/>
          <w:sz w:val="24"/>
        </w:rPr>
        <w:t>1</w:t>
      </w:r>
      <w:r w:rsidRPr="00A74402">
        <w:rPr>
          <w:rFonts w:ascii="Times New Roman" w:hAnsi="Times New Roman" w:cs="Times New Roman"/>
          <w:sz w:val="24"/>
        </w:rPr>
        <w:t xml:space="preserve">% </w:t>
      </w:r>
      <w:r w:rsidR="00A30C7F" w:rsidRPr="00A74402">
        <w:rPr>
          <w:rFonts w:ascii="Times New Roman" w:hAnsi="Times New Roman" w:cs="Times New Roman"/>
          <w:sz w:val="24"/>
        </w:rPr>
        <w:t>en</w:t>
      </w:r>
      <w:r w:rsidRPr="00A74402">
        <w:rPr>
          <w:rFonts w:ascii="Times New Roman" w:hAnsi="Times New Roman" w:cs="Times New Roman"/>
          <w:sz w:val="24"/>
        </w:rPr>
        <w:t xml:space="preserve"> 200</w:t>
      </w:r>
      <w:r w:rsidR="002C2D4B" w:rsidRPr="00A74402">
        <w:rPr>
          <w:rFonts w:ascii="Times New Roman" w:hAnsi="Times New Roman" w:cs="Times New Roman"/>
          <w:sz w:val="24"/>
        </w:rPr>
        <w:t>4</w:t>
      </w:r>
      <w:r w:rsidRPr="00A74402">
        <w:rPr>
          <w:rFonts w:ascii="Times New Roman" w:hAnsi="Times New Roman" w:cs="Times New Roman"/>
          <w:sz w:val="24"/>
        </w:rPr>
        <w:t>-201</w:t>
      </w:r>
      <w:r w:rsidR="002C2D4B" w:rsidRPr="00A74402">
        <w:rPr>
          <w:rFonts w:ascii="Times New Roman" w:hAnsi="Times New Roman" w:cs="Times New Roman"/>
          <w:sz w:val="24"/>
        </w:rPr>
        <w:t>6</w:t>
      </w:r>
      <w:r w:rsidRPr="00A74402">
        <w:rPr>
          <w:rFonts w:ascii="Times New Roman" w:hAnsi="Times New Roman" w:cs="Times New Roman"/>
          <w:sz w:val="24"/>
        </w:rPr>
        <w:t>, la que</w:t>
      </w:r>
      <w:r w:rsidR="002C2D4B" w:rsidRPr="00A74402">
        <w:rPr>
          <w:rFonts w:ascii="Times New Roman" w:hAnsi="Times New Roman" w:cs="Times New Roman"/>
          <w:sz w:val="24"/>
        </w:rPr>
        <w:t xml:space="preserve"> es menos de la mitad del crecimiento anual medio de Noruega</w:t>
      </w:r>
      <w:r w:rsidRPr="00A74402">
        <w:rPr>
          <w:rFonts w:ascii="Times New Roman" w:hAnsi="Times New Roman" w:cs="Times New Roman"/>
          <w:sz w:val="24"/>
        </w:rPr>
        <w:t xml:space="preserve"> </w:t>
      </w:r>
      <w:r w:rsidR="002C2D4B" w:rsidRPr="00A74402">
        <w:rPr>
          <w:rFonts w:ascii="Times New Roman" w:hAnsi="Times New Roman" w:cs="Times New Roman"/>
          <w:sz w:val="24"/>
        </w:rPr>
        <w:t>para el mismo período</w:t>
      </w:r>
      <w:r w:rsidR="001179FD" w:rsidRPr="00A74402">
        <w:rPr>
          <w:rFonts w:ascii="Times New Roman" w:hAnsi="Times New Roman" w:cs="Times New Roman"/>
          <w:sz w:val="24"/>
        </w:rPr>
        <w:t>.</w:t>
      </w:r>
    </w:p>
    <w:p w14:paraId="2912099E" w14:textId="4048DFF9" w:rsidR="0040070D" w:rsidRPr="00A74402" w:rsidRDefault="001179FD" w:rsidP="0040070D">
      <w:pPr>
        <w:keepNext/>
        <w:tabs>
          <w:tab w:val="left" w:pos="-720"/>
        </w:tabs>
        <w:suppressAutoHyphens/>
        <w:contextualSpacing/>
        <w:rPr>
          <w:rFonts w:ascii="Times New Roman" w:hAnsi="Times New Roman" w:cs="Times New Roman"/>
          <w:sz w:val="24"/>
        </w:rPr>
      </w:pPr>
      <w:r w:rsidRPr="00A74402" w:rsidDel="001179FD">
        <w:rPr>
          <w:rFonts w:ascii="Times New Roman" w:hAnsi="Times New Roman" w:cs="Times New Roman"/>
          <w:sz w:val="24"/>
        </w:rPr>
        <w:t xml:space="preserve"> </w:t>
      </w:r>
      <w:r w:rsidR="009418E6" w:rsidRPr="00A74402">
        <w:rPr>
          <w:rFonts w:ascii="Times New Roman" w:hAnsi="Times New Roman" w:cs="Times New Roman"/>
          <w:sz w:val="24"/>
        </w:rPr>
        <w:t>[Gráfico 8]</w:t>
      </w:r>
    </w:p>
    <w:p w14:paraId="3407BE3A" w14:textId="60D44FD7" w:rsidR="0040070D"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Actualmente la industria del salmón utiliza antibióticos en forma masiva que representan hasta un 19% de sus ventas, lo que ha terminado por afectar el prestigio de las exportaciones chilenas que desde el 2014 sufren castigos de precios y exclusiones de</w:t>
      </w:r>
      <w:r w:rsidR="001179FD" w:rsidRPr="00A74402">
        <w:rPr>
          <w:rFonts w:ascii="Times New Roman" w:hAnsi="Times New Roman" w:cs="Times New Roman"/>
          <w:sz w:val="24"/>
        </w:rPr>
        <w:t xml:space="preserve"> </w:t>
      </w:r>
      <w:r w:rsidRPr="00A74402">
        <w:rPr>
          <w:rFonts w:ascii="Times New Roman" w:hAnsi="Times New Roman" w:cs="Times New Roman"/>
          <w:sz w:val="24"/>
        </w:rPr>
        <w:t xml:space="preserve"> mercados. Ello explica que las regulaciones sanitarias se hayan vuelto crecientemente más estrictas, lo que exigirá inversiones más intensivas en capital, mayor contratación de servicios tecnológicos y empresas con mayores escalas de producción. El modelo extensivo y simple de producción de salmón está en pleno retroceso y la industria vive un proceso de reestructuración que determinar</w:t>
      </w:r>
      <w:r w:rsidR="007263AB" w:rsidRPr="00A74402">
        <w:rPr>
          <w:rFonts w:ascii="Times New Roman" w:hAnsi="Times New Roman" w:cs="Times New Roman"/>
          <w:sz w:val="24"/>
        </w:rPr>
        <w:t>á</w:t>
      </w:r>
      <w:r w:rsidRPr="00A74402">
        <w:rPr>
          <w:rFonts w:ascii="Times New Roman" w:hAnsi="Times New Roman" w:cs="Times New Roman"/>
          <w:sz w:val="24"/>
        </w:rPr>
        <w:t xml:space="preserve"> una reducción drástica del número de empresas (</w:t>
      </w:r>
      <w:r w:rsidR="00A30C7F" w:rsidRPr="00A74402">
        <w:rPr>
          <w:rFonts w:ascii="Times New Roman" w:hAnsi="Times New Roman" w:cs="Times New Roman"/>
          <w:sz w:val="24"/>
        </w:rPr>
        <w:t>Hosono</w:t>
      </w:r>
      <w:r w:rsidR="003630F8" w:rsidRPr="00A74402">
        <w:rPr>
          <w:rFonts w:ascii="Times New Roman" w:hAnsi="Times New Roman" w:cs="Times New Roman"/>
          <w:sz w:val="24"/>
        </w:rPr>
        <w:t>, l</w:t>
      </w:r>
      <w:r w:rsidR="0076771B" w:rsidRPr="00A74402">
        <w:rPr>
          <w:rFonts w:ascii="Times New Roman" w:hAnsi="Times New Roman" w:cs="Times New Roman"/>
          <w:sz w:val="24"/>
        </w:rPr>
        <w:t>izuka</w:t>
      </w:r>
      <w:r w:rsidR="003630F8" w:rsidRPr="00A74402">
        <w:rPr>
          <w:rFonts w:ascii="Times New Roman" w:hAnsi="Times New Roman" w:cs="Times New Roman"/>
          <w:sz w:val="24"/>
        </w:rPr>
        <w:t xml:space="preserve"> y Katz</w:t>
      </w:r>
      <w:r w:rsidR="003243E0" w:rsidRPr="00A74402">
        <w:rPr>
          <w:rFonts w:ascii="Times New Roman" w:hAnsi="Times New Roman" w:cs="Times New Roman"/>
          <w:sz w:val="24"/>
        </w:rPr>
        <w:t>,</w:t>
      </w:r>
      <w:r w:rsidRPr="00A74402">
        <w:rPr>
          <w:rFonts w:ascii="Times New Roman" w:hAnsi="Times New Roman" w:cs="Times New Roman"/>
          <w:sz w:val="24"/>
        </w:rPr>
        <w:t xml:space="preserve"> 201</w:t>
      </w:r>
      <w:r w:rsidR="00A30C7F" w:rsidRPr="00A74402">
        <w:rPr>
          <w:rFonts w:ascii="Times New Roman" w:hAnsi="Times New Roman" w:cs="Times New Roman"/>
          <w:sz w:val="24"/>
        </w:rPr>
        <w:t>6</w:t>
      </w:r>
      <w:r w:rsidRPr="00A74402">
        <w:rPr>
          <w:rFonts w:ascii="Times New Roman" w:hAnsi="Times New Roman" w:cs="Times New Roman"/>
          <w:sz w:val="24"/>
        </w:rPr>
        <w:t xml:space="preserve">). En efecto, algunas proyecciones señalan que de las 160 firmas que existían en 1990 quedarán una docena hacia finales de esta década. </w:t>
      </w:r>
    </w:p>
    <w:p w14:paraId="1BF19070" w14:textId="06511B30" w:rsidR="009418E6" w:rsidRPr="00A74402" w:rsidRDefault="0040070D"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 xml:space="preserve">El gráfico </w:t>
      </w:r>
      <w:r w:rsidR="009418E6" w:rsidRPr="00A74402">
        <w:rPr>
          <w:rFonts w:ascii="Times New Roman" w:hAnsi="Times New Roman" w:cs="Times New Roman"/>
          <w:sz w:val="24"/>
        </w:rPr>
        <w:t>9</w:t>
      </w:r>
      <w:r w:rsidRPr="00A74402">
        <w:rPr>
          <w:rFonts w:ascii="Times New Roman" w:hAnsi="Times New Roman" w:cs="Times New Roman"/>
          <w:sz w:val="24"/>
        </w:rPr>
        <w:t xml:space="preserve"> compara las tasas de crecimiento de la producción física en varios sectores productores de recursos naturales. </w:t>
      </w:r>
      <w:r w:rsidR="002C2D4B" w:rsidRPr="00A74402">
        <w:rPr>
          <w:rFonts w:ascii="Times New Roman" w:hAnsi="Times New Roman" w:cs="Times New Roman"/>
          <w:sz w:val="24"/>
        </w:rPr>
        <w:t xml:space="preserve">El panorama que evidencia es preocupante. Al comparar períodos largos, </w:t>
      </w:r>
      <w:r w:rsidR="00155C1C" w:rsidRPr="00A74402">
        <w:rPr>
          <w:rFonts w:ascii="Times New Roman" w:hAnsi="Times New Roman" w:cs="Times New Roman"/>
          <w:sz w:val="24"/>
        </w:rPr>
        <w:t xml:space="preserve">se observa que </w:t>
      </w:r>
      <w:r w:rsidR="002C2D4B" w:rsidRPr="00A74402">
        <w:rPr>
          <w:rFonts w:ascii="Times New Roman" w:hAnsi="Times New Roman" w:cs="Times New Roman"/>
          <w:sz w:val="24"/>
        </w:rPr>
        <w:t xml:space="preserve">en </w:t>
      </w:r>
      <w:r w:rsidR="003630F8" w:rsidRPr="00A74402">
        <w:rPr>
          <w:rFonts w:ascii="Times New Roman" w:hAnsi="Times New Roman" w:cs="Times New Roman"/>
          <w:sz w:val="24"/>
        </w:rPr>
        <w:t xml:space="preserve">casi </w:t>
      </w:r>
      <w:r w:rsidR="002C2D4B" w:rsidRPr="00A74402">
        <w:rPr>
          <w:rFonts w:ascii="Times New Roman" w:hAnsi="Times New Roman" w:cs="Times New Roman"/>
          <w:sz w:val="24"/>
        </w:rPr>
        <w:t xml:space="preserve">todos los sectores </w:t>
      </w:r>
      <w:r w:rsidR="00155C1C" w:rsidRPr="00A74402">
        <w:rPr>
          <w:rFonts w:ascii="Times New Roman" w:hAnsi="Times New Roman" w:cs="Times New Roman"/>
          <w:sz w:val="24"/>
        </w:rPr>
        <w:t xml:space="preserve">productores de commodities basados en RRNN hay </w:t>
      </w:r>
      <w:r w:rsidR="002C2D4B" w:rsidRPr="00A74402">
        <w:rPr>
          <w:rFonts w:ascii="Times New Roman" w:hAnsi="Times New Roman" w:cs="Times New Roman"/>
          <w:sz w:val="24"/>
        </w:rPr>
        <w:t>una reducción de las tasas de crecimiento</w:t>
      </w:r>
      <w:r w:rsidR="00155C1C" w:rsidRPr="00A74402">
        <w:rPr>
          <w:rFonts w:ascii="Times New Roman" w:hAnsi="Times New Roman" w:cs="Times New Roman"/>
          <w:sz w:val="24"/>
        </w:rPr>
        <w:t>, cuando se compara</w:t>
      </w:r>
      <w:r w:rsidR="00C35538" w:rsidRPr="00A74402">
        <w:rPr>
          <w:rFonts w:ascii="Times New Roman" w:hAnsi="Times New Roman" w:cs="Times New Roman"/>
          <w:sz w:val="24"/>
        </w:rPr>
        <w:t>n</w:t>
      </w:r>
      <w:r w:rsidR="00155C1C" w:rsidRPr="00A74402">
        <w:rPr>
          <w:rFonts w:ascii="Times New Roman" w:hAnsi="Times New Roman" w:cs="Times New Roman"/>
          <w:sz w:val="24"/>
        </w:rPr>
        <w:t xml:space="preserve"> 1990-2003 y 2004-2016. La única excepción es el </w:t>
      </w:r>
      <w:r w:rsidRPr="00A74402">
        <w:rPr>
          <w:rFonts w:ascii="Times New Roman" w:hAnsi="Times New Roman" w:cs="Times New Roman"/>
          <w:sz w:val="24"/>
        </w:rPr>
        <w:t>sector hortofrutícola que está en plena expansión hacia el sur de Chile</w:t>
      </w:r>
      <w:r w:rsidR="00155C1C" w:rsidRPr="00A74402">
        <w:rPr>
          <w:rFonts w:ascii="Times New Roman" w:hAnsi="Times New Roman" w:cs="Times New Roman"/>
          <w:sz w:val="24"/>
        </w:rPr>
        <w:t xml:space="preserve"> y que se adapta a las tendencias de la demanda mundial. La tasa de crecimiento de este sector es significativa, gracias al dinamismo de las inversiones en plantaciones de frutales y la permanente incorporación de tecnología. El otro sector que se destaca por su elevado crecimiento en el período </w:t>
      </w:r>
      <w:r w:rsidR="005C3915" w:rsidRPr="00A74402">
        <w:rPr>
          <w:rFonts w:ascii="Times New Roman" w:hAnsi="Times New Roman" w:cs="Times New Roman"/>
          <w:sz w:val="24"/>
        </w:rPr>
        <w:t>reciente</w:t>
      </w:r>
      <w:r w:rsidR="00155C1C" w:rsidRPr="00A74402">
        <w:rPr>
          <w:rFonts w:ascii="Times New Roman" w:hAnsi="Times New Roman" w:cs="Times New Roman"/>
          <w:sz w:val="24"/>
        </w:rPr>
        <w:t xml:space="preserve"> es el de la producción </w:t>
      </w:r>
      <w:r w:rsidRPr="00A74402">
        <w:rPr>
          <w:rFonts w:ascii="Times New Roman" w:hAnsi="Times New Roman" w:cs="Times New Roman"/>
          <w:sz w:val="24"/>
        </w:rPr>
        <w:t>vitivinícola</w:t>
      </w:r>
      <w:r w:rsidR="005E5EC4" w:rsidRPr="00A74402">
        <w:rPr>
          <w:rFonts w:ascii="Times New Roman" w:hAnsi="Times New Roman" w:cs="Times New Roman"/>
          <w:sz w:val="24"/>
        </w:rPr>
        <w:t>.</w:t>
      </w:r>
      <w:r w:rsidRPr="00A74402">
        <w:rPr>
          <w:rFonts w:ascii="Times New Roman" w:hAnsi="Times New Roman" w:cs="Times New Roman"/>
          <w:sz w:val="24"/>
        </w:rPr>
        <w:t xml:space="preserve"> Cabe destacar que de acuerdo a las estadísticas de la OCDE en I+D, estos </w:t>
      </w:r>
      <w:r w:rsidR="00155C1C" w:rsidRPr="00A74402">
        <w:rPr>
          <w:rFonts w:ascii="Times New Roman" w:hAnsi="Times New Roman" w:cs="Times New Roman"/>
          <w:sz w:val="24"/>
        </w:rPr>
        <w:t xml:space="preserve">dos </w:t>
      </w:r>
      <w:r w:rsidRPr="00A74402">
        <w:rPr>
          <w:rFonts w:ascii="Times New Roman" w:hAnsi="Times New Roman" w:cs="Times New Roman"/>
          <w:sz w:val="24"/>
        </w:rPr>
        <w:t>sectores exhiben las tasas de I+D sectoriales más elevadas de Chile, acercándose a la media OCDE.</w:t>
      </w:r>
    </w:p>
    <w:p w14:paraId="7BAD1ED8" w14:textId="11E7CC17" w:rsidR="00D07C81" w:rsidRPr="00A74402" w:rsidRDefault="00803BA6"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r>
      <w:r w:rsidRPr="00A74402">
        <w:rPr>
          <w:rFonts w:ascii="Times New Roman" w:hAnsi="Times New Roman" w:cs="Times New Roman"/>
          <w:sz w:val="24"/>
        </w:rPr>
        <w:tab/>
      </w:r>
      <w:r w:rsidRPr="00A74402">
        <w:rPr>
          <w:rFonts w:ascii="Times New Roman" w:hAnsi="Times New Roman" w:cs="Times New Roman"/>
          <w:sz w:val="24"/>
        </w:rPr>
        <w:tab/>
      </w:r>
      <w:r w:rsidRPr="00A74402">
        <w:rPr>
          <w:rFonts w:ascii="Times New Roman" w:hAnsi="Times New Roman" w:cs="Times New Roman"/>
          <w:sz w:val="24"/>
        </w:rPr>
        <w:tab/>
      </w:r>
      <w:r w:rsidRPr="00A74402">
        <w:rPr>
          <w:rFonts w:ascii="Times New Roman" w:hAnsi="Times New Roman" w:cs="Times New Roman"/>
          <w:sz w:val="24"/>
        </w:rPr>
        <w:tab/>
      </w:r>
      <w:r w:rsidR="001179FD" w:rsidRPr="00A74402">
        <w:rPr>
          <w:rFonts w:ascii="Times New Roman" w:hAnsi="Times New Roman" w:cs="Times New Roman"/>
          <w:sz w:val="24"/>
        </w:rPr>
        <w:t>Gráfico 9</w:t>
      </w:r>
    </w:p>
    <w:p w14:paraId="5D1857C6" w14:textId="77777777" w:rsidR="00155C1C" w:rsidRPr="00A74402" w:rsidRDefault="00D07C81"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 xml:space="preserve">Ciertamente, Chile tiene potencial de superar este ciclo de rendimientos decrecientes, intensificando la I+D científico tecnológica, para diversificar la matriz de producción de recursos naturales, incrementar la productividad y reducir los impactos negativos sobre el medio ambientes. Existen espacios para ello, pero deben superarse importantes obstáculos. </w:t>
      </w:r>
    </w:p>
    <w:p w14:paraId="7F77F0F5" w14:textId="5F637AC0" w:rsidR="00D07C81" w:rsidRPr="00A74402" w:rsidRDefault="00155C1C" w:rsidP="0040070D">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r>
      <w:r w:rsidR="00D07C81" w:rsidRPr="00A74402">
        <w:rPr>
          <w:rFonts w:ascii="Times New Roman" w:hAnsi="Times New Roman" w:cs="Times New Roman"/>
          <w:sz w:val="24"/>
        </w:rPr>
        <w:t xml:space="preserve">Un caso relevante es el </w:t>
      </w:r>
      <w:r w:rsidR="003655E9" w:rsidRPr="00A74402">
        <w:rPr>
          <w:rFonts w:ascii="Times New Roman" w:hAnsi="Times New Roman" w:cs="Times New Roman"/>
          <w:sz w:val="24"/>
        </w:rPr>
        <w:t>l</w:t>
      </w:r>
      <w:r w:rsidR="00D07C81" w:rsidRPr="00A74402">
        <w:rPr>
          <w:rFonts w:ascii="Times New Roman" w:hAnsi="Times New Roman" w:cs="Times New Roman"/>
          <w:sz w:val="24"/>
        </w:rPr>
        <w:t xml:space="preserve">itio que tiene potencial de mayor agregación de valor y cuyos yacimientos están mayoritariamente en manos del Estado (CORFO). En efecto, aunque su tasa de crecimiento de producción física disminuyó entre 1990-2003 y 2004-2016 </w:t>
      </w:r>
      <w:r w:rsidR="005C3915" w:rsidRPr="00A74402">
        <w:rPr>
          <w:rFonts w:ascii="Times New Roman" w:hAnsi="Times New Roman" w:cs="Times New Roman"/>
          <w:sz w:val="24"/>
        </w:rPr>
        <w:t>decreciendo</w:t>
      </w:r>
      <w:r w:rsidR="00D07C81" w:rsidRPr="00A74402">
        <w:rPr>
          <w:rFonts w:ascii="Times New Roman" w:hAnsi="Times New Roman" w:cs="Times New Roman"/>
          <w:sz w:val="24"/>
        </w:rPr>
        <w:t xml:space="preserve"> desde 11,7% a </w:t>
      </w:r>
      <w:r w:rsidRPr="00A74402">
        <w:rPr>
          <w:rFonts w:ascii="Times New Roman" w:hAnsi="Times New Roman" w:cs="Times New Roman"/>
          <w:sz w:val="24"/>
        </w:rPr>
        <w:t>5,0</w:t>
      </w:r>
      <w:r w:rsidR="00D07C81" w:rsidRPr="00A74402">
        <w:rPr>
          <w:rFonts w:ascii="Times New Roman" w:hAnsi="Times New Roman" w:cs="Times New Roman"/>
          <w:sz w:val="24"/>
        </w:rPr>
        <w:t>%, es probable que incremente su ritmo desde 2018 al 2030 gracias a los nuevos acuerdos de CORFO con SQM y A</w:t>
      </w:r>
      <w:r w:rsidR="009D6657" w:rsidRPr="00A74402">
        <w:rPr>
          <w:rFonts w:ascii="Times New Roman" w:hAnsi="Times New Roman" w:cs="Times New Roman"/>
          <w:sz w:val="24"/>
        </w:rPr>
        <w:t>l</w:t>
      </w:r>
      <w:r w:rsidR="00D07C81" w:rsidRPr="00A74402">
        <w:rPr>
          <w:rFonts w:ascii="Times New Roman" w:hAnsi="Times New Roman" w:cs="Times New Roman"/>
          <w:sz w:val="24"/>
        </w:rPr>
        <w:t>bema</w:t>
      </w:r>
      <w:r w:rsidR="009D6657" w:rsidRPr="00A74402">
        <w:rPr>
          <w:rFonts w:ascii="Times New Roman" w:hAnsi="Times New Roman" w:cs="Times New Roman"/>
          <w:sz w:val="24"/>
        </w:rPr>
        <w:t>r</w:t>
      </w:r>
      <w:r w:rsidR="00D07C81" w:rsidRPr="00A74402">
        <w:rPr>
          <w:rFonts w:ascii="Times New Roman" w:hAnsi="Times New Roman" w:cs="Times New Roman"/>
          <w:sz w:val="24"/>
        </w:rPr>
        <w:t>le</w:t>
      </w:r>
      <w:r w:rsidR="009D6657" w:rsidRPr="00A74402">
        <w:rPr>
          <w:rFonts w:ascii="Times New Roman" w:hAnsi="Times New Roman" w:cs="Times New Roman"/>
          <w:sz w:val="24"/>
        </w:rPr>
        <w:t>, que no sólo implicará el aumento de la producción sino también la reducción de la extracción de agua y salmuera, lo que supone un manejo más eficiente y sustentable de los salares. Está por verse si estas empresas cumplen con sus contratos y existe una fuerte corriente de opinión pública que la mejor opción para Chile es conformar una empresa estatal</w:t>
      </w:r>
      <w:r w:rsidRPr="00A74402">
        <w:rPr>
          <w:rFonts w:ascii="Times New Roman" w:hAnsi="Times New Roman" w:cs="Times New Roman"/>
          <w:sz w:val="24"/>
        </w:rPr>
        <w:t xml:space="preserve"> de </w:t>
      </w:r>
      <w:r w:rsidR="003655E9" w:rsidRPr="00A74402">
        <w:rPr>
          <w:rFonts w:ascii="Times New Roman" w:hAnsi="Times New Roman" w:cs="Times New Roman"/>
          <w:sz w:val="24"/>
        </w:rPr>
        <w:t>l</w:t>
      </w:r>
      <w:r w:rsidRPr="00A74402">
        <w:rPr>
          <w:rFonts w:ascii="Times New Roman" w:hAnsi="Times New Roman" w:cs="Times New Roman"/>
          <w:sz w:val="24"/>
        </w:rPr>
        <w:t>itio</w:t>
      </w:r>
      <w:r w:rsidR="009D6657" w:rsidRPr="00A74402">
        <w:rPr>
          <w:rFonts w:ascii="Times New Roman" w:hAnsi="Times New Roman" w:cs="Times New Roman"/>
          <w:sz w:val="24"/>
        </w:rPr>
        <w:t>.</w:t>
      </w:r>
      <w:r w:rsidR="009D6657" w:rsidRPr="00A74402">
        <w:rPr>
          <w:rStyle w:val="Refdenotaalpie"/>
          <w:rFonts w:ascii="Times New Roman" w:hAnsi="Times New Roman" w:cs="Times New Roman"/>
          <w:sz w:val="24"/>
        </w:rPr>
        <w:footnoteReference w:id="14"/>
      </w:r>
      <w:r w:rsidR="009D6657" w:rsidRPr="00A74402">
        <w:rPr>
          <w:rFonts w:ascii="Times New Roman" w:hAnsi="Times New Roman" w:cs="Times New Roman"/>
          <w:sz w:val="24"/>
        </w:rPr>
        <w:t xml:space="preserve"> </w:t>
      </w:r>
    </w:p>
    <w:p w14:paraId="743570A3" w14:textId="77777777" w:rsidR="005B159E" w:rsidRPr="00A74402" w:rsidRDefault="005B159E" w:rsidP="00834AAB">
      <w:pPr>
        <w:keepNext/>
        <w:tabs>
          <w:tab w:val="left" w:pos="-720"/>
        </w:tabs>
        <w:suppressAutoHyphens/>
        <w:contextualSpacing/>
        <w:rPr>
          <w:rFonts w:ascii="Times New Roman" w:hAnsi="Times New Roman" w:cs="Times New Roman"/>
          <w:sz w:val="24"/>
        </w:rPr>
      </w:pPr>
    </w:p>
    <w:p w14:paraId="748D4797" w14:textId="3C2C3E06" w:rsidR="008F26F5" w:rsidRPr="00A74402" w:rsidRDefault="008F26F5" w:rsidP="00834AAB">
      <w:pPr>
        <w:pStyle w:val="Prrafodelista"/>
        <w:numPr>
          <w:ilvl w:val="0"/>
          <w:numId w:val="15"/>
        </w:numPr>
        <w:rPr>
          <w:rFonts w:ascii="Times New Roman" w:hAnsi="Times New Roman" w:cs="Times New Roman"/>
          <w:b/>
          <w:sz w:val="24"/>
        </w:rPr>
      </w:pPr>
      <w:r w:rsidRPr="00A74402">
        <w:rPr>
          <w:rFonts w:ascii="Times New Roman" w:hAnsi="Times New Roman" w:cs="Times New Roman"/>
          <w:b/>
          <w:i/>
          <w:iCs/>
          <w:sz w:val="28"/>
          <w:szCs w:val="28"/>
        </w:rPr>
        <w:t xml:space="preserve">La </w:t>
      </w:r>
      <w:r w:rsidR="00C26428" w:rsidRPr="00A74402">
        <w:rPr>
          <w:rFonts w:ascii="Times New Roman" w:hAnsi="Times New Roman" w:cs="Times New Roman"/>
          <w:b/>
          <w:i/>
          <w:iCs/>
          <w:sz w:val="28"/>
          <w:szCs w:val="28"/>
        </w:rPr>
        <w:t xml:space="preserve">pérdida de dinamismo de las inversiones en </w:t>
      </w:r>
      <w:r w:rsidRPr="00A74402">
        <w:rPr>
          <w:rFonts w:ascii="Times New Roman" w:hAnsi="Times New Roman" w:cs="Times New Roman"/>
          <w:b/>
          <w:i/>
          <w:iCs/>
          <w:sz w:val="28"/>
          <w:szCs w:val="28"/>
        </w:rPr>
        <w:t>infraestructura</w:t>
      </w:r>
    </w:p>
    <w:p w14:paraId="145EA4EB" w14:textId="36F25D96" w:rsidR="00CE3044" w:rsidRPr="00A74402" w:rsidRDefault="003A11E1" w:rsidP="00834AAB">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r>
      <w:r w:rsidR="000776DB" w:rsidRPr="00A74402">
        <w:rPr>
          <w:rFonts w:ascii="Times New Roman" w:hAnsi="Times New Roman" w:cs="Times New Roman"/>
          <w:sz w:val="24"/>
        </w:rPr>
        <w:t>L</w:t>
      </w:r>
      <w:r w:rsidR="0056643B" w:rsidRPr="00A74402">
        <w:rPr>
          <w:rFonts w:ascii="Times New Roman" w:hAnsi="Times New Roman" w:cs="Times New Roman"/>
          <w:sz w:val="24"/>
        </w:rPr>
        <w:t xml:space="preserve">a inversión </w:t>
      </w:r>
      <w:r w:rsidR="00CE3044" w:rsidRPr="00A74402">
        <w:rPr>
          <w:rFonts w:ascii="Times New Roman" w:hAnsi="Times New Roman" w:cs="Times New Roman"/>
          <w:sz w:val="24"/>
        </w:rPr>
        <w:t>en infraestructura</w:t>
      </w:r>
      <w:r w:rsidR="000776DB" w:rsidRPr="00A74402">
        <w:rPr>
          <w:rFonts w:ascii="Times New Roman" w:hAnsi="Times New Roman" w:cs="Times New Roman"/>
          <w:sz w:val="24"/>
        </w:rPr>
        <w:t xml:space="preserve"> resulta crucial para el crecimiento del país y para la diversificación de la matriz productiva</w:t>
      </w:r>
      <w:r w:rsidR="003655E9" w:rsidRPr="00A74402">
        <w:rPr>
          <w:rFonts w:ascii="Times New Roman" w:hAnsi="Times New Roman" w:cs="Times New Roman"/>
          <w:sz w:val="24"/>
        </w:rPr>
        <w:t>,</w:t>
      </w:r>
      <w:r w:rsidR="000776DB" w:rsidRPr="00A74402">
        <w:rPr>
          <w:rFonts w:ascii="Times New Roman" w:hAnsi="Times New Roman" w:cs="Times New Roman"/>
          <w:sz w:val="24"/>
        </w:rPr>
        <w:t xml:space="preserve"> tanto en términos territoriales como para facilitar la emergencia de nuevos sectores intensivos en tecnología y conocimiento</w:t>
      </w:r>
      <w:r w:rsidR="00CE3044" w:rsidRPr="00A74402">
        <w:rPr>
          <w:rFonts w:ascii="Times New Roman" w:hAnsi="Times New Roman" w:cs="Times New Roman"/>
          <w:sz w:val="24"/>
        </w:rPr>
        <w:t xml:space="preserve">. </w:t>
      </w:r>
      <w:r w:rsidR="004D1156" w:rsidRPr="00A74402">
        <w:rPr>
          <w:rFonts w:ascii="Times New Roman" w:hAnsi="Times New Roman" w:cs="Times New Roman"/>
          <w:sz w:val="24"/>
        </w:rPr>
        <w:t xml:space="preserve">Su dinámica está principalmente </w:t>
      </w:r>
      <w:r w:rsidR="00CB3793" w:rsidRPr="00A74402">
        <w:rPr>
          <w:rFonts w:ascii="Times New Roman" w:hAnsi="Times New Roman" w:cs="Times New Roman"/>
          <w:sz w:val="24"/>
        </w:rPr>
        <w:t>co</w:t>
      </w:r>
      <w:r w:rsidR="00736600" w:rsidRPr="00A74402">
        <w:rPr>
          <w:rFonts w:ascii="Times New Roman" w:hAnsi="Times New Roman" w:cs="Times New Roman"/>
          <w:sz w:val="24"/>
        </w:rPr>
        <w:t>-</w:t>
      </w:r>
      <w:r w:rsidR="004D1156" w:rsidRPr="00A74402">
        <w:rPr>
          <w:rFonts w:ascii="Times New Roman" w:hAnsi="Times New Roman" w:cs="Times New Roman"/>
          <w:sz w:val="24"/>
        </w:rPr>
        <w:t xml:space="preserve">determinada por </w:t>
      </w:r>
      <w:r w:rsidR="00F914CB" w:rsidRPr="00A74402">
        <w:rPr>
          <w:rFonts w:ascii="Times New Roman" w:hAnsi="Times New Roman" w:cs="Times New Roman"/>
          <w:sz w:val="24"/>
        </w:rPr>
        <w:t>decisiones de política pública</w:t>
      </w:r>
      <w:r w:rsidR="00CE3044" w:rsidRPr="00A74402">
        <w:rPr>
          <w:rFonts w:ascii="Times New Roman" w:hAnsi="Times New Roman" w:cs="Times New Roman"/>
          <w:sz w:val="24"/>
        </w:rPr>
        <w:t xml:space="preserve"> y </w:t>
      </w:r>
      <w:r w:rsidR="0066209A" w:rsidRPr="00A74402">
        <w:rPr>
          <w:rFonts w:ascii="Times New Roman" w:hAnsi="Times New Roman" w:cs="Times New Roman"/>
          <w:sz w:val="24"/>
        </w:rPr>
        <w:t xml:space="preserve">las estrategias de expansión de los </w:t>
      </w:r>
      <w:r w:rsidR="00CE3044" w:rsidRPr="00A74402">
        <w:rPr>
          <w:rFonts w:ascii="Times New Roman" w:hAnsi="Times New Roman" w:cs="Times New Roman"/>
          <w:sz w:val="24"/>
        </w:rPr>
        <w:t xml:space="preserve">grupos económicos nacionales y extranjeros. En </w:t>
      </w:r>
      <w:r w:rsidR="00C03FD5" w:rsidRPr="00A74402">
        <w:rPr>
          <w:rFonts w:ascii="Times New Roman" w:hAnsi="Times New Roman" w:cs="Times New Roman"/>
          <w:sz w:val="24"/>
        </w:rPr>
        <w:t>el caso de las inversiones públicas</w:t>
      </w:r>
      <w:r w:rsidR="000776DB" w:rsidRPr="00A74402">
        <w:rPr>
          <w:rFonts w:ascii="Times New Roman" w:hAnsi="Times New Roman" w:cs="Times New Roman"/>
          <w:sz w:val="24"/>
        </w:rPr>
        <w:t>,</w:t>
      </w:r>
      <w:r w:rsidR="00C03FD5" w:rsidRPr="00A74402">
        <w:rPr>
          <w:rFonts w:ascii="Times New Roman" w:hAnsi="Times New Roman" w:cs="Times New Roman"/>
          <w:sz w:val="24"/>
        </w:rPr>
        <w:t xml:space="preserve"> pesan las limitaciones de financiamiento  </w:t>
      </w:r>
      <w:r w:rsidR="00CE3044" w:rsidRPr="00A74402">
        <w:rPr>
          <w:rFonts w:ascii="Times New Roman" w:hAnsi="Times New Roman" w:cs="Times New Roman"/>
          <w:sz w:val="24"/>
        </w:rPr>
        <w:t>en materia</w:t>
      </w:r>
      <w:r w:rsidR="0066209A" w:rsidRPr="00A74402">
        <w:rPr>
          <w:rFonts w:ascii="Times New Roman" w:hAnsi="Times New Roman" w:cs="Times New Roman"/>
          <w:sz w:val="24"/>
        </w:rPr>
        <w:t xml:space="preserve">s </w:t>
      </w:r>
      <w:r w:rsidR="004D1156" w:rsidRPr="00A74402">
        <w:rPr>
          <w:rFonts w:ascii="Times New Roman" w:hAnsi="Times New Roman" w:cs="Times New Roman"/>
          <w:sz w:val="24"/>
        </w:rPr>
        <w:t>de infraestructura de transporte, de salud y de educación</w:t>
      </w:r>
      <w:r w:rsidR="00DA3C22" w:rsidRPr="00A74402">
        <w:rPr>
          <w:rFonts w:ascii="Times New Roman" w:hAnsi="Times New Roman" w:cs="Times New Roman"/>
          <w:sz w:val="24"/>
        </w:rPr>
        <w:t>. Al respecto,</w:t>
      </w:r>
      <w:r w:rsidR="000776DB" w:rsidRPr="00A74402">
        <w:rPr>
          <w:rFonts w:ascii="Times New Roman" w:hAnsi="Times New Roman" w:cs="Times New Roman"/>
          <w:sz w:val="24"/>
        </w:rPr>
        <w:t xml:space="preserve"> el Fondo de Infraestructura aprobado por el congreso y promulgado </w:t>
      </w:r>
      <w:r w:rsidR="006863F8" w:rsidRPr="00A74402">
        <w:rPr>
          <w:rFonts w:ascii="Times New Roman" w:hAnsi="Times New Roman" w:cs="Times New Roman"/>
          <w:sz w:val="24"/>
        </w:rPr>
        <w:t xml:space="preserve">en 2018 </w:t>
      </w:r>
      <w:r w:rsidR="000776DB" w:rsidRPr="00A74402">
        <w:rPr>
          <w:rFonts w:ascii="Times New Roman" w:hAnsi="Times New Roman" w:cs="Times New Roman"/>
          <w:sz w:val="24"/>
        </w:rPr>
        <w:t>puede ser una herramienta poderosa</w:t>
      </w:r>
      <w:r w:rsidR="006863F8" w:rsidRPr="00A74402">
        <w:rPr>
          <w:rFonts w:ascii="Times New Roman" w:hAnsi="Times New Roman" w:cs="Times New Roman"/>
          <w:sz w:val="24"/>
        </w:rPr>
        <w:t>, dado que su misión es apoyar con garantías e inversiones que se realicen bajo el modelo de concesiones</w:t>
      </w:r>
      <w:r w:rsidR="000776DB" w:rsidRPr="00A74402">
        <w:rPr>
          <w:rFonts w:ascii="Times New Roman" w:hAnsi="Times New Roman" w:cs="Times New Roman"/>
          <w:sz w:val="24"/>
        </w:rPr>
        <w:t>.</w:t>
      </w:r>
      <w:r w:rsidR="00F914CB" w:rsidRPr="00A74402">
        <w:rPr>
          <w:rFonts w:ascii="Times New Roman" w:hAnsi="Times New Roman" w:cs="Times New Roman"/>
          <w:sz w:val="24"/>
        </w:rPr>
        <w:t xml:space="preserve"> </w:t>
      </w:r>
      <w:r w:rsidR="00CE3044" w:rsidRPr="00A74402">
        <w:rPr>
          <w:rFonts w:ascii="Times New Roman" w:hAnsi="Times New Roman" w:cs="Times New Roman"/>
          <w:sz w:val="24"/>
        </w:rPr>
        <w:t>En el segundo caso</w:t>
      </w:r>
      <w:r w:rsidR="003655E9" w:rsidRPr="00A74402">
        <w:rPr>
          <w:rFonts w:ascii="Times New Roman" w:hAnsi="Times New Roman" w:cs="Times New Roman"/>
          <w:sz w:val="24"/>
        </w:rPr>
        <w:t>,</w:t>
      </w:r>
      <w:r w:rsidR="00CE3044" w:rsidRPr="00A74402">
        <w:rPr>
          <w:rFonts w:ascii="Times New Roman" w:hAnsi="Times New Roman" w:cs="Times New Roman"/>
          <w:sz w:val="24"/>
        </w:rPr>
        <w:t xml:space="preserve"> pesan las expectativas de los</w:t>
      </w:r>
      <w:r w:rsidR="003655E9" w:rsidRPr="00A74402">
        <w:rPr>
          <w:rFonts w:ascii="Times New Roman" w:hAnsi="Times New Roman" w:cs="Times New Roman"/>
          <w:sz w:val="24"/>
        </w:rPr>
        <w:t xml:space="preserve"> </w:t>
      </w:r>
      <w:r w:rsidR="00CE3044" w:rsidRPr="00A74402">
        <w:rPr>
          <w:rFonts w:ascii="Times New Roman" w:hAnsi="Times New Roman" w:cs="Times New Roman"/>
          <w:sz w:val="24"/>
        </w:rPr>
        <w:t xml:space="preserve"> grupos económicos sobre tasas de retornos en el contexto de </w:t>
      </w:r>
      <w:r w:rsidR="0066209A" w:rsidRPr="00A74402">
        <w:rPr>
          <w:rFonts w:ascii="Times New Roman" w:hAnsi="Times New Roman" w:cs="Times New Roman"/>
          <w:sz w:val="24"/>
        </w:rPr>
        <w:t xml:space="preserve">las reglas de juego de las licitaciones de construcción y de concesión. </w:t>
      </w:r>
    </w:p>
    <w:p w14:paraId="50B58D62" w14:textId="2BC292E6" w:rsidR="0056643B" w:rsidRPr="00A74402" w:rsidRDefault="0048564E" w:rsidP="00834AAB">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r>
      <w:r w:rsidR="00F914CB" w:rsidRPr="00A74402">
        <w:rPr>
          <w:rFonts w:ascii="Times New Roman" w:hAnsi="Times New Roman" w:cs="Times New Roman"/>
          <w:sz w:val="24"/>
        </w:rPr>
        <w:t>En 1990-201</w:t>
      </w:r>
      <w:r w:rsidR="00F907A4" w:rsidRPr="00A74402">
        <w:rPr>
          <w:rFonts w:ascii="Times New Roman" w:hAnsi="Times New Roman" w:cs="Times New Roman"/>
          <w:sz w:val="24"/>
        </w:rPr>
        <w:t>6</w:t>
      </w:r>
      <w:r w:rsidR="00F914CB" w:rsidRPr="00A74402">
        <w:rPr>
          <w:rFonts w:ascii="Times New Roman" w:hAnsi="Times New Roman" w:cs="Times New Roman"/>
          <w:sz w:val="24"/>
        </w:rPr>
        <w:t xml:space="preserve">, </w:t>
      </w:r>
      <w:r w:rsidR="00CE3044" w:rsidRPr="00A74402">
        <w:rPr>
          <w:rFonts w:ascii="Times New Roman" w:hAnsi="Times New Roman" w:cs="Times New Roman"/>
          <w:sz w:val="24"/>
        </w:rPr>
        <w:t xml:space="preserve">la inversión en infraestructura </w:t>
      </w:r>
      <w:r w:rsidR="00F914CB" w:rsidRPr="00A74402">
        <w:rPr>
          <w:rFonts w:ascii="Times New Roman" w:hAnsi="Times New Roman" w:cs="Times New Roman"/>
          <w:sz w:val="24"/>
        </w:rPr>
        <w:t xml:space="preserve">ha representado en torno al 11% de la FBKF total, </w:t>
      </w:r>
      <w:r w:rsidR="004D1156" w:rsidRPr="00A74402">
        <w:rPr>
          <w:rFonts w:ascii="Times New Roman" w:hAnsi="Times New Roman" w:cs="Times New Roman"/>
          <w:sz w:val="24"/>
        </w:rPr>
        <w:t xml:space="preserve">la que incluye las concesiones que se iniciaron en 1995 y alcanzaron su </w:t>
      </w:r>
      <w:r w:rsidR="004D1156" w:rsidRPr="00A74402">
        <w:rPr>
          <w:rFonts w:ascii="Times New Roman" w:hAnsi="Times New Roman" w:cs="Times New Roman"/>
          <w:i/>
          <w:sz w:val="24"/>
        </w:rPr>
        <w:t>peak</w:t>
      </w:r>
      <w:r w:rsidR="004D1156" w:rsidRPr="00A74402">
        <w:rPr>
          <w:rFonts w:ascii="Times New Roman" w:hAnsi="Times New Roman" w:cs="Times New Roman"/>
          <w:sz w:val="24"/>
        </w:rPr>
        <w:t xml:space="preserve"> el 2005. La importancia de la política de infraestructura no se mide sólo por su participación en la FBKF sino por las externalidades que genera, que inducen a nuevas inversiones del sector privado. Por ello</w:t>
      </w:r>
      <w:r w:rsidR="00293FDF" w:rsidRPr="00A74402">
        <w:rPr>
          <w:rFonts w:ascii="Times New Roman" w:hAnsi="Times New Roman" w:cs="Times New Roman"/>
          <w:sz w:val="24"/>
        </w:rPr>
        <w:t>,</w:t>
      </w:r>
      <w:r w:rsidR="004D1156" w:rsidRPr="00A74402">
        <w:rPr>
          <w:rFonts w:ascii="Times New Roman" w:hAnsi="Times New Roman" w:cs="Times New Roman"/>
          <w:sz w:val="24"/>
        </w:rPr>
        <w:t xml:space="preserve"> resulta preocupante que su </w:t>
      </w:r>
      <w:r w:rsidR="00293FDF" w:rsidRPr="00A74402">
        <w:rPr>
          <w:rFonts w:ascii="Times New Roman" w:hAnsi="Times New Roman" w:cs="Times New Roman"/>
          <w:sz w:val="24"/>
        </w:rPr>
        <w:t>participación</w:t>
      </w:r>
      <w:r w:rsidR="004D1156" w:rsidRPr="00A74402">
        <w:rPr>
          <w:rFonts w:ascii="Times New Roman" w:hAnsi="Times New Roman" w:cs="Times New Roman"/>
          <w:sz w:val="24"/>
        </w:rPr>
        <w:t xml:space="preserve"> haya disminuido en la última década.</w:t>
      </w:r>
    </w:p>
    <w:p w14:paraId="2A2C0FDD" w14:textId="6BD37D8F" w:rsidR="007A212A" w:rsidRPr="00A74402" w:rsidRDefault="00CB444C" w:rsidP="007D45DC">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 xml:space="preserve">El </w:t>
      </w:r>
      <w:r w:rsidR="00C621D9" w:rsidRPr="00A74402">
        <w:rPr>
          <w:rFonts w:ascii="Times New Roman" w:hAnsi="Times New Roman" w:cs="Times New Roman"/>
          <w:sz w:val="24"/>
        </w:rPr>
        <w:t>gr</w:t>
      </w:r>
      <w:r w:rsidR="00546652" w:rsidRPr="00A74402">
        <w:rPr>
          <w:rFonts w:ascii="Times New Roman" w:hAnsi="Times New Roman" w:cs="Times New Roman"/>
          <w:sz w:val="24"/>
        </w:rPr>
        <w:t xml:space="preserve">áfico </w:t>
      </w:r>
      <w:r w:rsidR="00F907A4" w:rsidRPr="00A74402">
        <w:rPr>
          <w:rFonts w:ascii="Times New Roman" w:hAnsi="Times New Roman" w:cs="Times New Roman"/>
          <w:sz w:val="24"/>
        </w:rPr>
        <w:t>10</w:t>
      </w:r>
      <w:r w:rsidR="00C621D9" w:rsidRPr="00A74402">
        <w:rPr>
          <w:rFonts w:ascii="Times New Roman" w:hAnsi="Times New Roman" w:cs="Times New Roman"/>
          <w:sz w:val="24"/>
        </w:rPr>
        <w:t xml:space="preserve"> muestra </w:t>
      </w:r>
      <w:r w:rsidRPr="00A74402">
        <w:rPr>
          <w:rFonts w:ascii="Times New Roman" w:hAnsi="Times New Roman" w:cs="Times New Roman"/>
          <w:sz w:val="24"/>
        </w:rPr>
        <w:t>que Chile vivió un ciclo de incremento de la inversión en infraestructura vial</w:t>
      </w:r>
      <w:r w:rsidR="007A212A" w:rsidRPr="00A74402">
        <w:rPr>
          <w:rFonts w:ascii="Times New Roman" w:hAnsi="Times New Roman" w:cs="Times New Roman"/>
          <w:sz w:val="24"/>
        </w:rPr>
        <w:t>, sanitaria</w:t>
      </w:r>
      <w:r w:rsidRPr="00A74402">
        <w:rPr>
          <w:rFonts w:ascii="Times New Roman" w:hAnsi="Times New Roman" w:cs="Times New Roman"/>
          <w:sz w:val="24"/>
        </w:rPr>
        <w:t xml:space="preserve"> y portuaria a partir del lanzamiento de</w:t>
      </w:r>
      <w:r w:rsidR="007A212A" w:rsidRPr="00A74402">
        <w:rPr>
          <w:rFonts w:ascii="Times New Roman" w:hAnsi="Times New Roman" w:cs="Times New Roman"/>
          <w:sz w:val="24"/>
        </w:rPr>
        <w:t xml:space="preserve"> la ley de concesiones públicas (1992-1996), la privatización parcial de las sanitarias y el perfeccionamiento de su marco regulatorio (1997), la ley de EMPORCHI, que establece que la ampliación de los puertos del Estado a través de concesiones privadas y la ley de Financiamiento Urbano Compartido (2001). El único sector que no logró montar un sistema de concesiones </w:t>
      </w:r>
      <w:r w:rsidR="000761E7" w:rsidRPr="00A74402">
        <w:rPr>
          <w:rFonts w:ascii="Times New Roman" w:hAnsi="Times New Roman" w:cs="Times New Roman"/>
          <w:sz w:val="24"/>
        </w:rPr>
        <w:t>efectivo</w:t>
      </w:r>
      <w:r w:rsidR="007A212A" w:rsidRPr="00A74402">
        <w:rPr>
          <w:rFonts w:ascii="Times New Roman" w:hAnsi="Times New Roman" w:cs="Times New Roman"/>
          <w:sz w:val="24"/>
        </w:rPr>
        <w:t xml:space="preserve"> fue el de ferrocarriles.</w:t>
      </w:r>
    </w:p>
    <w:p w14:paraId="6DF1BAD1" w14:textId="6B497F71" w:rsidR="007263AB" w:rsidRPr="00A74402" w:rsidRDefault="007263AB" w:rsidP="00834AAB">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r>
      <w:r w:rsidRPr="00A74402">
        <w:rPr>
          <w:rFonts w:ascii="Times New Roman" w:hAnsi="Times New Roman" w:cs="Times New Roman"/>
          <w:sz w:val="24"/>
        </w:rPr>
        <w:tab/>
      </w:r>
      <w:r w:rsidRPr="00A74402">
        <w:rPr>
          <w:rFonts w:ascii="Times New Roman" w:hAnsi="Times New Roman" w:cs="Times New Roman"/>
          <w:sz w:val="24"/>
        </w:rPr>
        <w:tab/>
      </w:r>
      <w:r w:rsidRPr="00A74402">
        <w:rPr>
          <w:rFonts w:ascii="Times New Roman" w:hAnsi="Times New Roman" w:cs="Times New Roman"/>
          <w:sz w:val="24"/>
        </w:rPr>
        <w:tab/>
      </w:r>
      <w:r w:rsidRPr="00A74402">
        <w:rPr>
          <w:rFonts w:ascii="Times New Roman" w:hAnsi="Times New Roman" w:cs="Times New Roman"/>
          <w:sz w:val="24"/>
        </w:rPr>
        <w:tab/>
        <w:t xml:space="preserve">Gráfico </w:t>
      </w:r>
      <w:r w:rsidR="009418E6" w:rsidRPr="00A74402">
        <w:rPr>
          <w:rFonts w:ascii="Times New Roman" w:hAnsi="Times New Roman" w:cs="Times New Roman"/>
          <w:sz w:val="24"/>
        </w:rPr>
        <w:t>10</w:t>
      </w:r>
    </w:p>
    <w:p w14:paraId="062F2FC8" w14:textId="2E76DAFB" w:rsidR="00EF098D" w:rsidRPr="00A74402" w:rsidRDefault="007A212A" w:rsidP="005E5EC4">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t xml:space="preserve">El resultado fue un aumento de las </w:t>
      </w:r>
      <w:r w:rsidR="00CB3793" w:rsidRPr="00A74402">
        <w:rPr>
          <w:rFonts w:ascii="Times New Roman" w:hAnsi="Times New Roman" w:cs="Times New Roman"/>
          <w:sz w:val="24"/>
        </w:rPr>
        <w:t>inversiones en infraestructura física que, sumando concesiones viales e inversiones públicas del MOP alcanzó una media de 1.5% del PIB en 1998</w:t>
      </w:r>
      <w:r w:rsidR="00D154B7" w:rsidRPr="00A74402">
        <w:rPr>
          <w:rFonts w:ascii="Times New Roman" w:hAnsi="Times New Roman" w:cs="Times New Roman"/>
          <w:sz w:val="24"/>
        </w:rPr>
        <w:t>-</w:t>
      </w:r>
      <w:r w:rsidR="00CB3793" w:rsidRPr="00A74402">
        <w:rPr>
          <w:rFonts w:ascii="Times New Roman" w:hAnsi="Times New Roman" w:cs="Times New Roman"/>
          <w:sz w:val="24"/>
        </w:rPr>
        <w:t>200</w:t>
      </w:r>
      <w:r w:rsidR="00736600" w:rsidRPr="00A74402">
        <w:rPr>
          <w:rFonts w:ascii="Times New Roman" w:hAnsi="Times New Roman" w:cs="Times New Roman"/>
          <w:sz w:val="24"/>
        </w:rPr>
        <w:t>5</w:t>
      </w:r>
      <w:r w:rsidR="00CB3793" w:rsidRPr="00A74402">
        <w:rPr>
          <w:rFonts w:ascii="Times New Roman" w:hAnsi="Times New Roman" w:cs="Times New Roman"/>
          <w:sz w:val="24"/>
        </w:rPr>
        <w:t xml:space="preserve">. </w:t>
      </w:r>
      <w:r w:rsidR="002304AA" w:rsidRPr="00A74402">
        <w:rPr>
          <w:rFonts w:ascii="Times New Roman" w:hAnsi="Times New Roman" w:cs="Times New Roman"/>
          <w:sz w:val="24"/>
        </w:rPr>
        <w:t xml:space="preserve">La novedad fue ciertamente el sistema </w:t>
      </w:r>
      <w:r w:rsidR="00081844" w:rsidRPr="00A74402">
        <w:rPr>
          <w:rFonts w:ascii="Times New Roman" w:hAnsi="Times New Roman" w:cs="Times New Roman"/>
          <w:sz w:val="24"/>
        </w:rPr>
        <w:t xml:space="preserve">exitoso </w:t>
      </w:r>
      <w:r w:rsidR="002304AA" w:rsidRPr="00A74402">
        <w:rPr>
          <w:rFonts w:ascii="Times New Roman" w:hAnsi="Times New Roman" w:cs="Times New Roman"/>
          <w:sz w:val="24"/>
        </w:rPr>
        <w:t xml:space="preserve">de concesiones. A ello ayudó el contexto </w:t>
      </w:r>
      <w:r w:rsidR="00CB3793" w:rsidRPr="00A74402">
        <w:rPr>
          <w:rFonts w:ascii="Times New Roman" w:hAnsi="Times New Roman" w:cs="Times New Roman"/>
          <w:sz w:val="24"/>
        </w:rPr>
        <w:t xml:space="preserve">institucional y macroeconómico </w:t>
      </w:r>
      <w:r w:rsidR="002304AA" w:rsidRPr="00A74402">
        <w:rPr>
          <w:rFonts w:ascii="Times New Roman" w:hAnsi="Times New Roman" w:cs="Times New Roman"/>
          <w:sz w:val="24"/>
        </w:rPr>
        <w:t xml:space="preserve">que favoreció </w:t>
      </w:r>
      <w:r w:rsidR="00CB3793" w:rsidRPr="00A74402">
        <w:rPr>
          <w:rFonts w:ascii="Times New Roman" w:hAnsi="Times New Roman" w:cs="Times New Roman"/>
          <w:sz w:val="24"/>
        </w:rPr>
        <w:t>la llegada al paí</w:t>
      </w:r>
      <w:r w:rsidR="002304AA" w:rsidRPr="00A74402">
        <w:rPr>
          <w:rFonts w:ascii="Times New Roman" w:hAnsi="Times New Roman" w:cs="Times New Roman"/>
          <w:sz w:val="24"/>
        </w:rPr>
        <w:t>s de inversionistas extranjeros</w:t>
      </w:r>
      <w:r w:rsidR="00081844" w:rsidRPr="00A74402">
        <w:rPr>
          <w:rFonts w:ascii="Times New Roman" w:hAnsi="Times New Roman" w:cs="Times New Roman"/>
          <w:sz w:val="24"/>
        </w:rPr>
        <w:t xml:space="preserve">, aunque hubo </w:t>
      </w:r>
      <w:r w:rsidR="00081844" w:rsidRPr="00A74402">
        <w:rPr>
          <w:rFonts w:ascii="Times New Roman" w:hAnsi="Times New Roman" w:cs="Times New Roman"/>
          <w:i/>
          <w:sz w:val="24"/>
        </w:rPr>
        <w:t>crowding</w:t>
      </w:r>
      <w:r w:rsidR="00736600" w:rsidRPr="00A74402">
        <w:rPr>
          <w:rFonts w:ascii="Times New Roman" w:hAnsi="Times New Roman" w:cs="Times New Roman"/>
          <w:i/>
          <w:sz w:val="24"/>
        </w:rPr>
        <w:t>-</w:t>
      </w:r>
      <w:r w:rsidR="00081844" w:rsidRPr="00A74402">
        <w:rPr>
          <w:rFonts w:ascii="Times New Roman" w:hAnsi="Times New Roman" w:cs="Times New Roman"/>
          <w:i/>
          <w:sz w:val="24"/>
        </w:rPr>
        <w:t>out</w:t>
      </w:r>
      <w:r w:rsidR="00081844" w:rsidRPr="00A74402">
        <w:rPr>
          <w:rFonts w:ascii="Times New Roman" w:hAnsi="Times New Roman" w:cs="Times New Roman"/>
          <w:sz w:val="24"/>
        </w:rPr>
        <w:t xml:space="preserve"> de inversionistas nacionales. </w:t>
      </w:r>
      <w:r w:rsidR="00EF098D" w:rsidRPr="00A74402">
        <w:rPr>
          <w:rFonts w:ascii="Times New Roman" w:hAnsi="Times New Roman" w:cs="Times New Roman"/>
          <w:sz w:val="24"/>
        </w:rPr>
        <w:t>Sin embargo, el impulso del período 1998-2005 perdió fuerza después. En términos relativos, la inversión en infraestructura vial MOP y concesiones se estabilizó en torno al 0</w:t>
      </w:r>
      <w:r w:rsidR="007D45DC" w:rsidRPr="00A74402">
        <w:rPr>
          <w:rFonts w:ascii="Times New Roman" w:hAnsi="Times New Roman" w:cs="Times New Roman"/>
          <w:sz w:val="24"/>
        </w:rPr>
        <w:t>,</w:t>
      </w:r>
      <w:r w:rsidR="00EF098D" w:rsidRPr="00A74402">
        <w:rPr>
          <w:rFonts w:ascii="Times New Roman" w:hAnsi="Times New Roman" w:cs="Times New Roman"/>
          <w:sz w:val="24"/>
        </w:rPr>
        <w:t>9% del PIB</w:t>
      </w:r>
      <w:r w:rsidR="00D340B2" w:rsidRPr="00A74402">
        <w:rPr>
          <w:rFonts w:ascii="Times New Roman" w:hAnsi="Times New Roman" w:cs="Times New Roman"/>
          <w:sz w:val="24"/>
        </w:rPr>
        <w:t xml:space="preserve">, aunque </w:t>
      </w:r>
      <w:r w:rsidR="000761E7" w:rsidRPr="00A74402">
        <w:rPr>
          <w:rFonts w:ascii="Times New Roman" w:hAnsi="Times New Roman" w:cs="Times New Roman"/>
          <w:sz w:val="24"/>
        </w:rPr>
        <w:t xml:space="preserve">se recuperó parcialmente </w:t>
      </w:r>
      <w:r w:rsidR="00D340B2" w:rsidRPr="00A74402">
        <w:rPr>
          <w:rFonts w:ascii="Times New Roman" w:hAnsi="Times New Roman" w:cs="Times New Roman"/>
          <w:sz w:val="24"/>
        </w:rPr>
        <w:t>en el bienio 2</w:t>
      </w:r>
      <w:r w:rsidR="000761E7" w:rsidRPr="00A74402">
        <w:rPr>
          <w:rFonts w:ascii="Times New Roman" w:hAnsi="Times New Roman" w:cs="Times New Roman"/>
          <w:sz w:val="24"/>
        </w:rPr>
        <w:t>0</w:t>
      </w:r>
      <w:r w:rsidR="00D340B2" w:rsidRPr="00A74402">
        <w:rPr>
          <w:rFonts w:ascii="Times New Roman" w:hAnsi="Times New Roman" w:cs="Times New Roman"/>
          <w:sz w:val="24"/>
        </w:rPr>
        <w:t>16-2017</w:t>
      </w:r>
      <w:r w:rsidR="00EF098D" w:rsidRPr="00A74402">
        <w:rPr>
          <w:rFonts w:ascii="Times New Roman" w:hAnsi="Times New Roman" w:cs="Times New Roman"/>
          <w:sz w:val="24"/>
        </w:rPr>
        <w:t xml:space="preserve">. Más aún, el </w:t>
      </w:r>
      <w:r w:rsidR="00D340B2" w:rsidRPr="00A74402">
        <w:rPr>
          <w:rFonts w:ascii="Times New Roman" w:hAnsi="Times New Roman" w:cs="Times New Roman"/>
          <w:sz w:val="24"/>
        </w:rPr>
        <w:t xml:space="preserve">Estado confronta problemas de diseño y gestión de </w:t>
      </w:r>
      <w:r w:rsidR="00EF098D" w:rsidRPr="00A74402">
        <w:rPr>
          <w:rFonts w:ascii="Times New Roman" w:hAnsi="Times New Roman" w:cs="Times New Roman"/>
          <w:sz w:val="24"/>
        </w:rPr>
        <w:t xml:space="preserve">proyectos de escala y atractivo suficiente para licitaciones del sector privado, al tiempo que el sistema de concesiones encontró dificultades especialmente en el ámbito de sobrecostos, </w:t>
      </w:r>
      <w:r w:rsidR="00D340B2" w:rsidRPr="00A74402">
        <w:rPr>
          <w:rFonts w:ascii="Times New Roman" w:hAnsi="Times New Roman" w:cs="Times New Roman"/>
          <w:sz w:val="24"/>
        </w:rPr>
        <w:t xml:space="preserve">de superación de autorizaciones ambientales, así como </w:t>
      </w:r>
      <w:r w:rsidR="00EF098D" w:rsidRPr="00A74402">
        <w:rPr>
          <w:rFonts w:ascii="Times New Roman" w:hAnsi="Times New Roman" w:cs="Times New Roman"/>
          <w:sz w:val="24"/>
        </w:rPr>
        <w:t xml:space="preserve">de regulación y de fiscalización. La extensión de las concesiones hacia otras áreas como hospitales ha encontrado resistencias en la sociedad chilena. </w:t>
      </w:r>
      <w:r w:rsidR="00D340B2" w:rsidRPr="00A74402">
        <w:rPr>
          <w:rFonts w:ascii="Times New Roman" w:hAnsi="Times New Roman" w:cs="Times New Roman"/>
          <w:sz w:val="24"/>
        </w:rPr>
        <w:t xml:space="preserve">Todo ello ocurre en el contexto de </w:t>
      </w:r>
      <w:r w:rsidR="00EF098D" w:rsidRPr="00A74402">
        <w:rPr>
          <w:rFonts w:ascii="Times New Roman" w:hAnsi="Times New Roman" w:cs="Times New Roman"/>
          <w:sz w:val="24"/>
        </w:rPr>
        <w:t xml:space="preserve">una política fiscal conservadora que </w:t>
      </w:r>
      <w:r w:rsidR="00D340B2" w:rsidRPr="00A74402">
        <w:rPr>
          <w:rFonts w:ascii="Times New Roman" w:hAnsi="Times New Roman" w:cs="Times New Roman"/>
          <w:sz w:val="24"/>
        </w:rPr>
        <w:t>desde el añ</w:t>
      </w:r>
      <w:r w:rsidR="00210F50" w:rsidRPr="00A74402">
        <w:rPr>
          <w:rFonts w:ascii="Times New Roman" w:hAnsi="Times New Roman" w:cs="Times New Roman"/>
          <w:sz w:val="24"/>
        </w:rPr>
        <w:t>o</w:t>
      </w:r>
      <w:r w:rsidR="00D340B2" w:rsidRPr="00A74402">
        <w:rPr>
          <w:rFonts w:ascii="Times New Roman" w:hAnsi="Times New Roman" w:cs="Times New Roman"/>
          <w:sz w:val="24"/>
        </w:rPr>
        <w:t xml:space="preserve"> 2017 </w:t>
      </w:r>
      <w:r w:rsidR="00EF098D" w:rsidRPr="00A74402">
        <w:rPr>
          <w:rFonts w:ascii="Times New Roman" w:hAnsi="Times New Roman" w:cs="Times New Roman"/>
          <w:sz w:val="24"/>
        </w:rPr>
        <w:t>dificult</w:t>
      </w:r>
      <w:r w:rsidR="00D340B2" w:rsidRPr="00A74402">
        <w:rPr>
          <w:rFonts w:ascii="Times New Roman" w:hAnsi="Times New Roman" w:cs="Times New Roman"/>
          <w:sz w:val="24"/>
        </w:rPr>
        <w:t>a</w:t>
      </w:r>
      <w:r w:rsidR="00EF098D" w:rsidRPr="00A74402">
        <w:rPr>
          <w:rFonts w:ascii="Times New Roman" w:hAnsi="Times New Roman" w:cs="Times New Roman"/>
          <w:sz w:val="24"/>
        </w:rPr>
        <w:t xml:space="preserve"> el relanzamiento de inversiones públicas.</w:t>
      </w:r>
    </w:p>
    <w:p w14:paraId="5B48B012" w14:textId="20BB8B81" w:rsidR="00EF098D" w:rsidRPr="00A74402" w:rsidRDefault="00EF098D" w:rsidP="00834AAB">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r>
      <w:r w:rsidR="00FB0FF8" w:rsidRPr="00A74402">
        <w:rPr>
          <w:rFonts w:ascii="Times New Roman" w:hAnsi="Times New Roman" w:cs="Times New Roman"/>
          <w:sz w:val="24"/>
        </w:rPr>
        <w:t xml:space="preserve">La inversión en infraestructura tiene tres grandes áreas que han quedado rezagadas. </w:t>
      </w:r>
      <w:r w:rsidR="007D45DC" w:rsidRPr="00A74402">
        <w:rPr>
          <w:rFonts w:ascii="Times New Roman" w:hAnsi="Times New Roman" w:cs="Times New Roman"/>
          <w:sz w:val="24"/>
        </w:rPr>
        <w:t>Uno, e</w:t>
      </w:r>
      <w:r w:rsidR="00FB0FF8" w:rsidRPr="00A74402">
        <w:rPr>
          <w:rFonts w:ascii="Times New Roman" w:hAnsi="Times New Roman" w:cs="Times New Roman"/>
          <w:sz w:val="24"/>
        </w:rPr>
        <w:t xml:space="preserve">l sistema de cabotaje, dada la </w:t>
      </w:r>
      <w:r w:rsidR="00C621D9" w:rsidRPr="00A74402">
        <w:rPr>
          <w:rFonts w:ascii="Times New Roman" w:hAnsi="Times New Roman" w:cs="Times New Roman"/>
          <w:sz w:val="24"/>
        </w:rPr>
        <w:t xml:space="preserve">persistencia </w:t>
      </w:r>
      <w:r w:rsidR="00FB0FF8" w:rsidRPr="00A74402">
        <w:rPr>
          <w:rFonts w:ascii="Times New Roman" w:hAnsi="Times New Roman" w:cs="Times New Roman"/>
          <w:sz w:val="24"/>
        </w:rPr>
        <w:t xml:space="preserve">de una legislación </w:t>
      </w:r>
      <w:r w:rsidR="00C621D9" w:rsidRPr="00A74402">
        <w:rPr>
          <w:rFonts w:ascii="Times New Roman" w:hAnsi="Times New Roman" w:cs="Times New Roman"/>
          <w:sz w:val="24"/>
        </w:rPr>
        <w:t xml:space="preserve">que </w:t>
      </w:r>
      <w:r w:rsidR="00FB0FF8" w:rsidRPr="00A74402">
        <w:rPr>
          <w:rFonts w:ascii="Times New Roman" w:hAnsi="Times New Roman" w:cs="Times New Roman"/>
          <w:sz w:val="24"/>
        </w:rPr>
        <w:t xml:space="preserve">ha favorecido un monopolio en el transporte de carga y pasajeros que dificulta su capacidad competitiva respecto a las alternativas viales. </w:t>
      </w:r>
    </w:p>
    <w:p w14:paraId="456DB2BD" w14:textId="77777777" w:rsidR="00A74402" w:rsidRPr="00A74402" w:rsidRDefault="00FB0FF8" w:rsidP="00A74402">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r>
      <w:r w:rsidR="00A74402" w:rsidRPr="00A74402">
        <w:rPr>
          <w:rFonts w:ascii="Times New Roman" w:hAnsi="Times New Roman" w:cs="Times New Roman"/>
          <w:sz w:val="24"/>
        </w:rPr>
        <w:t xml:space="preserve"> Segundo, telecomunicaciones. El déficit debe visualizarse en relación a las demandas futuras en materia digital. Actualmente, la banda ancha en Chile está concentrada en grandes urbes y tiene una velocidad promedio de casi 8 Mbps, lo que es insuficiente para los requerimientos actuales y futuros (cuadro 5). En efecto, el potencial de desarrollo de manufactura avanzada, las nuevas tecnologías de educación y capacitación, la telemedicina y otras tecnologías de salud, los sistemas de radares y de control aéreo, la nueva minería, los nuevos requerimientos digitales en logística, la astronomía, el video interactivo requieren velocidades superiores a 70 Mbps (Yanyan </w:t>
      </w:r>
      <w:r w:rsidR="00A74402" w:rsidRPr="00A74402">
        <w:rPr>
          <w:rFonts w:ascii="Times New Roman" w:hAnsi="Times New Roman" w:cs="Times New Roman"/>
          <w:i/>
          <w:sz w:val="24"/>
        </w:rPr>
        <w:t>et al.</w:t>
      </w:r>
      <w:r w:rsidR="00A74402" w:rsidRPr="00A74402">
        <w:rPr>
          <w:rFonts w:ascii="Times New Roman" w:hAnsi="Times New Roman" w:cs="Times New Roman"/>
          <w:sz w:val="24"/>
        </w:rPr>
        <w:t xml:space="preserve">, 2013). En la medida que Chile no desarrolle una infraestructura de banda ancha de nueva generación, impedirá el potencial de diversificación de su matriz productiva. </w:t>
      </w:r>
    </w:p>
    <w:p w14:paraId="036F1507" w14:textId="323C113A" w:rsidR="00A74402" w:rsidRPr="00A74402" w:rsidRDefault="00A74402" w:rsidP="00A74402">
      <w:pPr>
        <w:keepNext/>
        <w:tabs>
          <w:tab w:val="left" w:pos="-720"/>
        </w:tabs>
        <w:suppressAutoHyphens/>
        <w:contextualSpacing/>
        <w:rPr>
          <w:rFonts w:ascii="Times New Roman" w:hAnsi="Times New Roman" w:cs="Times New Roman"/>
          <w:sz w:val="24"/>
        </w:rPr>
      </w:pPr>
    </w:p>
    <w:p w14:paraId="273F1186" w14:textId="578D0246" w:rsidR="00C7220B" w:rsidRPr="00A74402" w:rsidRDefault="00A74402" w:rsidP="00A74402">
      <w:pPr>
        <w:keepNext/>
        <w:tabs>
          <w:tab w:val="left" w:pos="-720"/>
        </w:tabs>
        <w:suppressAutoHyphens/>
        <w:ind w:firstLine="706"/>
        <w:rPr>
          <w:rFonts w:ascii="Times New Roman" w:hAnsi="Times New Roman" w:cs="Times New Roman"/>
          <w:sz w:val="24"/>
        </w:rPr>
      </w:pPr>
      <w:r w:rsidRPr="00A74402">
        <w:rPr>
          <w:rFonts w:ascii="Times New Roman" w:hAnsi="Times New Roman" w:cs="Times New Roman"/>
          <w:sz w:val="24"/>
        </w:rPr>
        <w:tab/>
      </w:r>
      <w:r w:rsidRPr="00A74402">
        <w:rPr>
          <w:rFonts w:ascii="Times New Roman" w:hAnsi="Times New Roman" w:cs="Times New Roman"/>
          <w:sz w:val="24"/>
        </w:rPr>
        <w:tab/>
      </w:r>
      <w:r w:rsidRPr="00A74402">
        <w:rPr>
          <w:rFonts w:ascii="Times New Roman" w:hAnsi="Times New Roman" w:cs="Times New Roman"/>
          <w:sz w:val="24"/>
        </w:rPr>
        <w:tab/>
      </w:r>
      <w:r w:rsidRPr="00A74402">
        <w:rPr>
          <w:rFonts w:ascii="Times New Roman" w:hAnsi="Times New Roman" w:cs="Times New Roman"/>
          <w:sz w:val="24"/>
        </w:rPr>
        <w:tab/>
      </w:r>
      <w:r w:rsidRPr="00A74402">
        <w:rPr>
          <w:rFonts w:ascii="Times New Roman" w:hAnsi="Times New Roman" w:cs="Times New Roman"/>
          <w:sz w:val="24"/>
        </w:rPr>
        <w:tab/>
        <w:t>Cuadro 5</w:t>
      </w:r>
    </w:p>
    <w:p w14:paraId="2EEC01CE" w14:textId="3B7D8F31" w:rsidR="004D1156" w:rsidRPr="00A74402" w:rsidRDefault="00D060F0" w:rsidP="00834AAB">
      <w:pPr>
        <w:keepNext/>
        <w:tabs>
          <w:tab w:val="left" w:pos="-720"/>
        </w:tabs>
        <w:suppressAutoHyphens/>
        <w:contextualSpacing/>
        <w:rPr>
          <w:rFonts w:ascii="Times New Roman" w:hAnsi="Times New Roman" w:cs="Times New Roman"/>
          <w:sz w:val="24"/>
        </w:rPr>
      </w:pPr>
      <w:r w:rsidRPr="00A74402">
        <w:rPr>
          <w:rFonts w:ascii="Times New Roman" w:hAnsi="Times New Roman" w:cs="Times New Roman"/>
          <w:sz w:val="24"/>
        </w:rPr>
        <w:tab/>
      </w:r>
      <w:r w:rsidR="00A74402" w:rsidRPr="00A74402">
        <w:rPr>
          <w:rFonts w:ascii="Times New Roman" w:hAnsi="Times New Roman" w:cs="Times New Roman"/>
          <w:sz w:val="24"/>
        </w:rPr>
        <w:t>Como lo advierte un estudio del CNID realizado en el 2017 en conjunto con SUBTEL y la CORFO, la implementación de este nuevo tipo de infraestructura requerirá probablemente de un cambio del modelo regulatorio y el avance hacia un sistema de concesiones para los grandes troncales de fibra óptica.</w:t>
      </w:r>
      <w:r w:rsidR="003628B3" w:rsidRPr="00A74402">
        <w:rPr>
          <w:rFonts w:ascii="Times New Roman" w:hAnsi="Times New Roman" w:cs="Times New Roman"/>
          <w:sz w:val="24"/>
        </w:rPr>
        <w:tab/>
      </w:r>
      <w:r w:rsidR="004D1156" w:rsidRPr="00A74402">
        <w:rPr>
          <w:rFonts w:ascii="Times New Roman" w:hAnsi="Times New Roman" w:cs="Times New Roman"/>
          <w:sz w:val="24"/>
        </w:rPr>
        <w:t xml:space="preserve">El tercer sector </w:t>
      </w:r>
      <w:r w:rsidR="003C1799" w:rsidRPr="00A74402">
        <w:rPr>
          <w:rFonts w:ascii="Times New Roman" w:hAnsi="Times New Roman" w:cs="Times New Roman"/>
          <w:sz w:val="24"/>
        </w:rPr>
        <w:t xml:space="preserve">rezagado </w:t>
      </w:r>
      <w:r w:rsidR="004D1156" w:rsidRPr="00A74402">
        <w:rPr>
          <w:rFonts w:ascii="Times New Roman" w:hAnsi="Times New Roman" w:cs="Times New Roman"/>
          <w:sz w:val="24"/>
        </w:rPr>
        <w:t xml:space="preserve">relevante </w:t>
      </w:r>
      <w:r w:rsidR="003C1799" w:rsidRPr="00A74402">
        <w:rPr>
          <w:rFonts w:ascii="Times New Roman" w:hAnsi="Times New Roman" w:cs="Times New Roman"/>
          <w:sz w:val="24"/>
        </w:rPr>
        <w:t>corresponde a</w:t>
      </w:r>
      <w:r w:rsidR="004D1156" w:rsidRPr="00A74402">
        <w:rPr>
          <w:rFonts w:ascii="Times New Roman" w:hAnsi="Times New Roman" w:cs="Times New Roman"/>
          <w:sz w:val="24"/>
        </w:rPr>
        <w:t xml:space="preserve"> las inversiones en </w:t>
      </w:r>
      <w:r w:rsidR="00546652" w:rsidRPr="00A74402">
        <w:rPr>
          <w:rFonts w:ascii="Times New Roman" w:hAnsi="Times New Roman" w:cs="Times New Roman"/>
          <w:sz w:val="24"/>
        </w:rPr>
        <w:t xml:space="preserve">generación, transmisión y distribución de energía eléctrica; en generación, transmisión y distribución de gas, así como las redes sanitarias. Todos son </w:t>
      </w:r>
      <w:r w:rsidR="00C94E7F" w:rsidRPr="00A74402">
        <w:rPr>
          <w:rFonts w:ascii="Times New Roman" w:hAnsi="Times New Roman" w:cs="Times New Roman"/>
          <w:sz w:val="24"/>
        </w:rPr>
        <w:t>servicio</w:t>
      </w:r>
      <w:r w:rsidR="00546652" w:rsidRPr="00A74402">
        <w:rPr>
          <w:rFonts w:ascii="Times New Roman" w:hAnsi="Times New Roman" w:cs="Times New Roman"/>
          <w:sz w:val="24"/>
        </w:rPr>
        <w:t>s</w:t>
      </w:r>
      <w:r w:rsidR="00C94E7F" w:rsidRPr="00A74402">
        <w:rPr>
          <w:rFonts w:ascii="Times New Roman" w:hAnsi="Times New Roman" w:cs="Times New Roman"/>
          <w:sz w:val="24"/>
        </w:rPr>
        <w:t xml:space="preserve"> de utilidad pública regulado</w:t>
      </w:r>
      <w:r w:rsidR="00546652" w:rsidRPr="00A74402">
        <w:rPr>
          <w:rFonts w:ascii="Times New Roman" w:hAnsi="Times New Roman" w:cs="Times New Roman"/>
          <w:sz w:val="24"/>
        </w:rPr>
        <w:t xml:space="preserve">s, cuyas inversiones </w:t>
      </w:r>
      <w:r w:rsidR="00D072AC" w:rsidRPr="00A74402">
        <w:rPr>
          <w:rFonts w:ascii="Times New Roman" w:hAnsi="Times New Roman" w:cs="Times New Roman"/>
          <w:sz w:val="24"/>
        </w:rPr>
        <w:t>está</w:t>
      </w:r>
      <w:r w:rsidR="00546652" w:rsidRPr="00A74402">
        <w:rPr>
          <w:rFonts w:ascii="Times New Roman" w:hAnsi="Times New Roman" w:cs="Times New Roman"/>
          <w:sz w:val="24"/>
        </w:rPr>
        <w:t>n</w:t>
      </w:r>
      <w:r w:rsidR="00D072AC" w:rsidRPr="00A74402">
        <w:rPr>
          <w:rFonts w:ascii="Times New Roman" w:hAnsi="Times New Roman" w:cs="Times New Roman"/>
          <w:sz w:val="24"/>
        </w:rPr>
        <w:t xml:space="preserve"> determinada</w:t>
      </w:r>
      <w:r w:rsidR="00546652" w:rsidRPr="00A74402">
        <w:rPr>
          <w:rFonts w:ascii="Times New Roman" w:hAnsi="Times New Roman" w:cs="Times New Roman"/>
          <w:sz w:val="24"/>
        </w:rPr>
        <w:t>s</w:t>
      </w:r>
      <w:r w:rsidR="00D072AC" w:rsidRPr="00A74402">
        <w:rPr>
          <w:rFonts w:ascii="Times New Roman" w:hAnsi="Times New Roman" w:cs="Times New Roman"/>
          <w:sz w:val="24"/>
        </w:rPr>
        <w:t xml:space="preserve"> por la relación entre capacidad instalada y expectativa de crecimiento de la demanda por estos servicios, a lo cual se agregan factores de oferta tales como tecnologías disponibles, </w:t>
      </w:r>
      <w:r w:rsidR="00546652" w:rsidRPr="00A74402">
        <w:rPr>
          <w:rFonts w:ascii="Times New Roman" w:hAnsi="Times New Roman" w:cs="Times New Roman"/>
          <w:sz w:val="24"/>
        </w:rPr>
        <w:t xml:space="preserve">regulaciones </w:t>
      </w:r>
      <w:r w:rsidR="00D072AC" w:rsidRPr="00A74402">
        <w:rPr>
          <w:rFonts w:ascii="Times New Roman" w:hAnsi="Times New Roman" w:cs="Times New Roman"/>
          <w:sz w:val="24"/>
        </w:rPr>
        <w:t xml:space="preserve">y disponibilidad de recursos. </w:t>
      </w:r>
      <w:r w:rsidR="00900035" w:rsidRPr="00A74402">
        <w:rPr>
          <w:rFonts w:ascii="Times New Roman" w:hAnsi="Times New Roman" w:cs="Times New Roman"/>
          <w:sz w:val="24"/>
        </w:rPr>
        <w:t xml:space="preserve">Su importancia es significativa y </w:t>
      </w:r>
      <w:r w:rsidR="00094C11" w:rsidRPr="00A74402">
        <w:rPr>
          <w:rFonts w:ascii="Times New Roman" w:hAnsi="Times New Roman" w:cs="Times New Roman"/>
          <w:sz w:val="24"/>
        </w:rPr>
        <w:t xml:space="preserve">ha aumentado </w:t>
      </w:r>
      <w:r w:rsidR="00900035" w:rsidRPr="00A74402">
        <w:rPr>
          <w:rFonts w:ascii="Times New Roman" w:hAnsi="Times New Roman" w:cs="Times New Roman"/>
          <w:sz w:val="24"/>
        </w:rPr>
        <w:t>en el transcurso de los últimos 25 años</w:t>
      </w:r>
      <w:r w:rsidR="0098494D" w:rsidRPr="00A74402">
        <w:rPr>
          <w:rFonts w:ascii="Times New Roman" w:hAnsi="Times New Roman" w:cs="Times New Roman"/>
          <w:sz w:val="24"/>
        </w:rPr>
        <w:t>,</w:t>
      </w:r>
      <w:r w:rsidR="00094C11" w:rsidRPr="00A74402">
        <w:rPr>
          <w:rFonts w:ascii="Times New Roman" w:hAnsi="Times New Roman" w:cs="Times New Roman"/>
          <w:sz w:val="24"/>
        </w:rPr>
        <w:t xml:space="preserve"> especialmente porque la estructura de inversiones se hace más compleja y diversificada. </w:t>
      </w:r>
      <w:r w:rsidR="00900035" w:rsidRPr="00A74402">
        <w:rPr>
          <w:rFonts w:ascii="Times New Roman" w:hAnsi="Times New Roman" w:cs="Times New Roman"/>
          <w:sz w:val="24"/>
        </w:rPr>
        <w:t>En efecto, comparando los promedios 199</w:t>
      </w:r>
      <w:r w:rsidR="002E6F87" w:rsidRPr="00A74402">
        <w:rPr>
          <w:rFonts w:ascii="Times New Roman" w:hAnsi="Times New Roman" w:cs="Times New Roman"/>
          <w:sz w:val="24"/>
        </w:rPr>
        <w:t>0</w:t>
      </w:r>
      <w:r w:rsidR="00900035" w:rsidRPr="00A74402">
        <w:rPr>
          <w:rFonts w:ascii="Times New Roman" w:hAnsi="Times New Roman" w:cs="Times New Roman"/>
          <w:sz w:val="24"/>
        </w:rPr>
        <w:t>-200</w:t>
      </w:r>
      <w:r w:rsidR="00D340B2" w:rsidRPr="00A74402">
        <w:rPr>
          <w:rFonts w:ascii="Times New Roman" w:hAnsi="Times New Roman" w:cs="Times New Roman"/>
          <w:sz w:val="24"/>
        </w:rPr>
        <w:t>3</w:t>
      </w:r>
      <w:r w:rsidR="00900035" w:rsidRPr="00A74402">
        <w:rPr>
          <w:rFonts w:ascii="Times New Roman" w:hAnsi="Times New Roman" w:cs="Times New Roman"/>
          <w:sz w:val="24"/>
        </w:rPr>
        <w:t xml:space="preserve"> y 200</w:t>
      </w:r>
      <w:r w:rsidR="00C75D84" w:rsidRPr="00A74402">
        <w:rPr>
          <w:rFonts w:ascii="Times New Roman" w:hAnsi="Times New Roman" w:cs="Times New Roman"/>
          <w:sz w:val="24"/>
        </w:rPr>
        <w:t>4</w:t>
      </w:r>
      <w:r w:rsidR="00900035" w:rsidRPr="00A74402">
        <w:rPr>
          <w:rFonts w:ascii="Times New Roman" w:hAnsi="Times New Roman" w:cs="Times New Roman"/>
          <w:sz w:val="24"/>
        </w:rPr>
        <w:t>-201</w:t>
      </w:r>
      <w:r w:rsidR="00D340B2" w:rsidRPr="00A74402">
        <w:rPr>
          <w:rFonts w:ascii="Times New Roman" w:hAnsi="Times New Roman" w:cs="Times New Roman"/>
          <w:sz w:val="24"/>
        </w:rPr>
        <w:t>6</w:t>
      </w:r>
      <w:r w:rsidR="00900035" w:rsidRPr="00A74402">
        <w:rPr>
          <w:rFonts w:ascii="Times New Roman" w:hAnsi="Times New Roman" w:cs="Times New Roman"/>
          <w:sz w:val="24"/>
        </w:rPr>
        <w:t xml:space="preserve"> se observa que su participación </w:t>
      </w:r>
      <w:r w:rsidR="00094C11" w:rsidRPr="00A74402">
        <w:rPr>
          <w:rFonts w:ascii="Times New Roman" w:hAnsi="Times New Roman" w:cs="Times New Roman"/>
          <w:sz w:val="24"/>
        </w:rPr>
        <w:t xml:space="preserve">aumenta </w:t>
      </w:r>
      <w:r w:rsidR="00900035" w:rsidRPr="00A74402">
        <w:rPr>
          <w:rFonts w:ascii="Times New Roman" w:hAnsi="Times New Roman" w:cs="Times New Roman"/>
          <w:sz w:val="24"/>
        </w:rPr>
        <w:t>desde 11% de la FBKF hasta 14%</w:t>
      </w:r>
      <w:r w:rsidR="00094C11" w:rsidRPr="00A74402">
        <w:rPr>
          <w:rFonts w:ascii="Times New Roman" w:hAnsi="Times New Roman" w:cs="Times New Roman"/>
          <w:sz w:val="24"/>
        </w:rPr>
        <w:t xml:space="preserve"> a precios corrientes.</w:t>
      </w:r>
      <w:r w:rsidR="002941D1" w:rsidRPr="00A74402">
        <w:rPr>
          <w:rFonts w:ascii="Times New Roman" w:hAnsi="Times New Roman" w:cs="Times New Roman"/>
          <w:sz w:val="24"/>
        </w:rPr>
        <w:t xml:space="preserve"> En todo caso, parece que se ha iniciado la recuperación del rezago en inversiones que este sector estaba arrastrando desde mediados de la década pasada. </w:t>
      </w:r>
    </w:p>
    <w:p w14:paraId="2DECB916" w14:textId="620C06C3" w:rsidR="00094C11" w:rsidRPr="00A74402" w:rsidRDefault="00D81CF3" w:rsidP="00834AAB">
      <w:pPr>
        <w:keepNext/>
        <w:tabs>
          <w:tab w:val="left" w:pos="-720"/>
        </w:tabs>
        <w:suppressAutoHyphens/>
        <w:contextualSpacing/>
        <w:rPr>
          <w:rFonts w:ascii="Times New Roman" w:hAnsi="Times New Roman" w:cs="Times New Roman"/>
          <w:sz w:val="24"/>
          <w:szCs w:val="24"/>
        </w:rPr>
      </w:pPr>
      <w:r w:rsidRPr="00A74402">
        <w:rPr>
          <w:rFonts w:ascii="Times New Roman" w:hAnsi="Times New Roman" w:cs="Times New Roman"/>
          <w:sz w:val="24"/>
        </w:rPr>
        <w:t xml:space="preserve"> </w:t>
      </w:r>
      <w:r w:rsidR="00C94E7F" w:rsidRPr="00A74402">
        <w:rPr>
          <w:rFonts w:ascii="Times New Roman" w:hAnsi="Times New Roman" w:cs="Times New Roman"/>
          <w:sz w:val="24"/>
        </w:rPr>
        <w:tab/>
      </w:r>
      <w:r w:rsidR="00094C11" w:rsidRPr="00A74402">
        <w:rPr>
          <w:rFonts w:ascii="Times New Roman" w:hAnsi="Times New Roman" w:cs="Times New Roman"/>
          <w:sz w:val="24"/>
        </w:rPr>
        <w:t xml:space="preserve">El resto </w:t>
      </w:r>
      <w:r w:rsidR="00BE373C" w:rsidRPr="00A74402">
        <w:rPr>
          <w:rFonts w:ascii="Times New Roman" w:hAnsi="Times New Roman" w:cs="Times New Roman"/>
          <w:sz w:val="24"/>
        </w:rPr>
        <w:t xml:space="preserve">de la FBKF </w:t>
      </w:r>
      <w:r w:rsidR="0066209A" w:rsidRPr="00A74402">
        <w:rPr>
          <w:rFonts w:ascii="Times New Roman" w:hAnsi="Times New Roman" w:cs="Times New Roman"/>
          <w:sz w:val="24"/>
        </w:rPr>
        <w:t>depende significativamente del grado de alineamiento de la demanda interna con el PIB potencial. Cuando existe una brecha recesiva (Ffrench</w:t>
      </w:r>
      <w:r w:rsidR="003D4A69" w:rsidRPr="00A74402">
        <w:rPr>
          <w:rFonts w:ascii="Times New Roman" w:hAnsi="Times New Roman" w:cs="Times New Roman"/>
          <w:sz w:val="24"/>
        </w:rPr>
        <w:t>-</w:t>
      </w:r>
      <w:r w:rsidR="0066209A" w:rsidRPr="00A74402">
        <w:rPr>
          <w:rFonts w:ascii="Times New Roman" w:hAnsi="Times New Roman" w:cs="Times New Roman"/>
          <w:sz w:val="24"/>
        </w:rPr>
        <w:t xml:space="preserve"> Davis,</w:t>
      </w:r>
      <w:r w:rsidR="003D4A69" w:rsidRPr="00A74402">
        <w:rPr>
          <w:rFonts w:ascii="Times New Roman" w:hAnsi="Times New Roman" w:cs="Times New Roman"/>
          <w:sz w:val="24"/>
        </w:rPr>
        <w:t xml:space="preserve"> 2010</w:t>
      </w:r>
      <w:r w:rsidR="0066209A" w:rsidRPr="00A74402">
        <w:rPr>
          <w:rFonts w:ascii="Times New Roman" w:hAnsi="Times New Roman" w:cs="Times New Roman"/>
          <w:sz w:val="24"/>
        </w:rPr>
        <w:t xml:space="preserve">) entre el PIB </w:t>
      </w:r>
      <w:r w:rsidR="003D4A69" w:rsidRPr="00A74402">
        <w:rPr>
          <w:rFonts w:ascii="Times New Roman" w:hAnsi="Times New Roman" w:cs="Times New Roman"/>
          <w:sz w:val="24"/>
        </w:rPr>
        <w:t>efectivo</w:t>
      </w:r>
      <w:r w:rsidR="0066209A" w:rsidRPr="00A74402">
        <w:rPr>
          <w:rFonts w:ascii="Times New Roman" w:hAnsi="Times New Roman" w:cs="Times New Roman"/>
          <w:sz w:val="24"/>
        </w:rPr>
        <w:t xml:space="preserve"> de estos sectores y el PIB potencial, se produce un significativo desaliento a la formación de capital. </w:t>
      </w:r>
      <w:r w:rsidR="00266317" w:rsidRPr="00A74402">
        <w:rPr>
          <w:rFonts w:ascii="Times New Roman" w:hAnsi="Times New Roman" w:cs="Times New Roman"/>
          <w:sz w:val="24"/>
        </w:rPr>
        <w:t>En el caso de los sectores que producen bienes transables como la industria</w:t>
      </w:r>
      <w:r w:rsidR="003570A6" w:rsidRPr="00A74402">
        <w:rPr>
          <w:rFonts w:ascii="Times New Roman" w:hAnsi="Times New Roman" w:cs="Times New Roman"/>
          <w:sz w:val="24"/>
        </w:rPr>
        <w:t xml:space="preserve"> </w:t>
      </w:r>
      <w:r w:rsidR="00BE373C" w:rsidRPr="00A74402">
        <w:rPr>
          <w:rFonts w:ascii="Times New Roman" w:hAnsi="Times New Roman" w:cs="Times New Roman"/>
          <w:sz w:val="24"/>
        </w:rPr>
        <w:t>y las PYMEs que compiten con las importaciones</w:t>
      </w:r>
      <w:r w:rsidR="003570A6" w:rsidRPr="00A74402">
        <w:rPr>
          <w:rFonts w:ascii="Times New Roman" w:hAnsi="Times New Roman" w:cs="Times New Roman"/>
          <w:sz w:val="24"/>
        </w:rPr>
        <w:t xml:space="preserve">, la inestabilidad cambiaria y la </w:t>
      </w:r>
      <w:r w:rsidR="00266317" w:rsidRPr="00A74402">
        <w:rPr>
          <w:rFonts w:ascii="Times New Roman" w:hAnsi="Times New Roman" w:cs="Times New Roman"/>
          <w:sz w:val="24"/>
        </w:rPr>
        <w:t xml:space="preserve">reversión de las políticas </w:t>
      </w:r>
      <w:r w:rsidR="0066209A" w:rsidRPr="00A74402">
        <w:rPr>
          <w:rFonts w:ascii="Times New Roman" w:hAnsi="Times New Roman" w:cs="Times New Roman"/>
          <w:sz w:val="24"/>
          <w:szCs w:val="24"/>
        </w:rPr>
        <w:t>contra-cíclicas acarrearon un estancamiento del crecimiento económico desde 1999, y frenaron la capacidad de reducción de la desigualdad por su impacto depresivo sobre el nivel y calidad del empleo.</w:t>
      </w:r>
    </w:p>
    <w:p w14:paraId="3468ACA0" w14:textId="77777777" w:rsidR="000679FC" w:rsidRPr="00A74402" w:rsidRDefault="000679FC" w:rsidP="00B34EF4">
      <w:pPr>
        <w:pStyle w:val="Textoindependiente"/>
        <w:widowControl/>
        <w:contextualSpacing/>
        <w:rPr>
          <w:rFonts w:ascii="Times New Roman" w:hAnsi="Times New Roman"/>
          <w:b/>
          <w:snapToGrid/>
          <w:sz w:val="28"/>
          <w:szCs w:val="28"/>
          <w:lang w:val="es-CL"/>
        </w:rPr>
      </w:pPr>
    </w:p>
    <w:p w14:paraId="1E98D050" w14:textId="29E0F4BB" w:rsidR="000679FC" w:rsidRDefault="001D1116" w:rsidP="000679FC">
      <w:pPr>
        <w:pStyle w:val="Textoindependiente"/>
        <w:widowControl/>
        <w:contextualSpacing/>
        <w:rPr>
          <w:rFonts w:ascii="Times New Roman" w:hAnsi="Times New Roman"/>
          <w:b/>
          <w:snapToGrid/>
          <w:sz w:val="28"/>
          <w:szCs w:val="28"/>
          <w:lang w:val="es-CL"/>
        </w:rPr>
      </w:pPr>
      <w:r w:rsidRPr="00A74402">
        <w:rPr>
          <w:rFonts w:ascii="Times New Roman" w:hAnsi="Times New Roman"/>
          <w:b/>
          <w:snapToGrid/>
          <w:sz w:val="28"/>
          <w:szCs w:val="28"/>
          <w:lang w:val="es-CL"/>
        </w:rPr>
        <w:t>3. La formación de capital</w:t>
      </w:r>
      <w:r w:rsidR="0001189A" w:rsidRPr="00A74402">
        <w:rPr>
          <w:rFonts w:ascii="Times New Roman" w:hAnsi="Times New Roman"/>
          <w:b/>
          <w:snapToGrid/>
          <w:sz w:val="28"/>
          <w:szCs w:val="28"/>
          <w:lang w:val="es-CL"/>
        </w:rPr>
        <w:t>, la innovación</w:t>
      </w:r>
      <w:r w:rsidRPr="00A74402">
        <w:rPr>
          <w:rFonts w:ascii="Times New Roman" w:hAnsi="Times New Roman"/>
          <w:b/>
          <w:snapToGrid/>
          <w:sz w:val="28"/>
          <w:szCs w:val="28"/>
          <w:lang w:val="es-CL"/>
        </w:rPr>
        <w:t xml:space="preserve"> y el crecimiento</w:t>
      </w:r>
    </w:p>
    <w:p w14:paraId="0CF6D800" w14:textId="77777777" w:rsidR="00931A70" w:rsidRDefault="00931A70" w:rsidP="00A74402">
      <w:pPr>
        <w:pStyle w:val="Textoindependiente"/>
        <w:widowControl/>
        <w:ind w:firstLine="706"/>
        <w:contextualSpacing/>
        <w:rPr>
          <w:rFonts w:ascii="Times New Roman" w:hAnsi="Times New Roman"/>
          <w:sz w:val="24"/>
          <w:szCs w:val="24"/>
        </w:rPr>
      </w:pPr>
    </w:p>
    <w:p w14:paraId="2F757FCD" w14:textId="77777777" w:rsidR="00A74402" w:rsidRPr="00A74402" w:rsidRDefault="00A74402" w:rsidP="00A74402">
      <w:pPr>
        <w:pStyle w:val="Textoindependiente"/>
        <w:widowControl/>
        <w:ind w:firstLine="706"/>
        <w:contextualSpacing/>
        <w:rPr>
          <w:rFonts w:ascii="Times New Roman" w:hAnsi="Times New Roman"/>
          <w:snapToGrid/>
          <w:sz w:val="28"/>
          <w:szCs w:val="28"/>
          <w:lang w:val="es-CL"/>
        </w:rPr>
      </w:pPr>
      <w:r w:rsidRPr="00A74402">
        <w:rPr>
          <w:rFonts w:ascii="Times New Roman" w:hAnsi="Times New Roman"/>
          <w:sz w:val="24"/>
          <w:szCs w:val="24"/>
        </w:rPr>
        <w:t xml:space="preserve">Como se indicó, la FBKF desempeña un papel decisivo en el crecimiento económico. Además de sus efectos directos sobre el crecimiento, la formación de capital es un canal de incorporación de innovaciones tecnológicas y de mejoramiento de la productividad y de generación de empleo. </w:t>
      </w:r>
    </w:p>
    <w:p w14:paraId="71FA6EB1" w14:textId="335A9E38" w:rsidR="00A74402" w:rsidRPr="00A74402" w:rsidRDefault="00A74402" w:rsidP="00A74402">
      <w:pPr>
        <w:keepNext/>
        <w:tabs>
          <w:tab w:val="left" w:pos="-720"/>
        </w:tabs>
        <w:suppressAutoHyphens/>
        <w:ind w:firstLine="706"/>
        <w:contextualSpacing/>
        <w:rPr>
          <w:rFonts w:ascii="Times New Roman" w:hAnsi="Times New Roman" w:cs="Times New Roman"/>
          <w:sz w:val="24"/>
          <w:szCs w:val="24"/>
        </w:rPr>
      </w:pPr>
      <w:r w:rsidRPr="00A74402">
        <w:rPr>
          <w:rFonts w:ascii="Times New Roman" w:hAnsi="Times New Roman" w:cs="Times New Roman"/>
          <w:sz w:val="24"/>
          <w:szCs w:val="24"/>
        </w:rPr>
        <w:t>Innovación y formación bruta de capital son complementarias, pero una no es suficiente para causar la otra. La innovación no es suficiente para inducir nuevas inversiones, se requiere demanda efectiva y condiciones macroeconómicas e institucionales adecuadas. A su vez, si las inversiones no incorporan progreso tecnológico</w:t>
      </w:r>
      <w:r w:rsidRPr="00A74402">
        <w:rPr>
          <w:rFonts w:ascii="Times New Roman" w:hAnsi="Times New Roman" w:cs="Times New Roman"/>
        </w:rPr>
        <w:t xml:space="preserve"> en las mismas maquinarias y construcciones y no son acompañadas por innovaciones en cómo se combinan entre sí y con el trabajo, terminan rezagándose</w:t>
      </w:r>
      <w:r w:rsidRPr="00A74402">
        <w:rPr>
          <w:rFonts w:ascii="Times New Roman" w:hAnsi="Times New Roman" w:cs="Times New Roman"/>
          <w:sz w:val="24"/>
          <w:szCs w:val="24"/>
        </w:rPr>
        <w:t xml:space="preserve"> respecto a la frontera tecnológica mundial. De ello se deriva que menor o mayor complementariedad entre inversión e innovación depende crucialmente de la presencia de políticas de desarrollo productivo y marcos regulatorios adecuados e inclusivos con las PYMEs, en un entorno de equilibrios sostenibles de la macroeconomía real. </w:t>
      </w:r>
    </w:p>
    <w:p w14:paraId="7CD2450A" w14:textId="39CF29A7" w:rsidR="000679FC" w:rsidRPr="00A74402" w:rsidRDefault="00A74402" w:rsidP="00A74402">
      <w:pPr>
        <w:keepNext/>
        <w:tabs>
          <w:tab w:val="left" w:pos="-720"/>
        </w:tabs>
        <w:suppressAutoHyphens/>
        <w:contextualSpacing/>
        <w:rPr>
          <w:rFonts w:ascii="Times New Roman" w:hAnsi="Times New Roman" w:cs="Times New Roman"/>
          <w:sz w:val="24"/>
          <w:szCs w:val="24"/>
        </w:rPr>
      </w:pPr>
      <w:r>
        <w:rPr>
          <w:rFonts w:ascii="Times New Roman" w:hAnsi="Times New Roman" w:cs="Times New Roman"/>
          <w:sz w:val="24"/>
          <w:szCs w:val="24"/>
        </w:rPr>
        <w:t xml:space="preserve">            </w:t>
      </w:r>
      <w:r w:rsidRPr="00A74402">
        <w:rPr>
          <w:rFonts w:ascii="Times New Roman" w:hAnsi="Times New Roman" w:cs="Times New Roman"/>
          <w:sz w:val="24"/>
          <w:szCs w:val="24"/>
        </w:rPr>
        <w:t xml:space="preserve">Como se ha expuesto, la evidencia indica que no es viable alcanzar un crecimiento económico alto y sostenido con una tasa de inversión baja. En términos agregados, el volumen de la FBKF es más determinante para el crecimiento que la PTF, como lo comprueba la fuerte intensidad del stock de capital por miembro de la fuerza de trabajo de los Estados Unidos o Europa en comparación con Chile o América Latina (ver gráfico 1 </w:t>
      </w:r>
      <w:r w:rsidRPr="00A74402">
        <w:rPr>
          <w:rFonts w:ascii="Times New Roman" w:hAnsi="Times New Roman" w:cs="Times New Roman"/>
          <w:i/>
          <w:sz w:val="24"/>
          <w:szCs w:val="24"/>
        </w:rPr>
        <w:t>supra</w:t>
      </w:r>
      <w:r w:rsidRPr="00A74402">
        <w:rPr>
          <w:rFonts w:ascii="Times New Roman" w:hAnsi="Times New Roman" w:cs="Times New Roman"/>
          <w:sz w:val="24"/>
          <w:szCs w:val="24"/>
        </w:rPr>
        <w:t>).</w:t>
      </w:r>
    </w:p>
    <w:p w14:paraId="0A6A1872" w14:textId="7F5C103E" w:rsidR="00193CF3" w:rsidRPr="00A74402" w:rsidRDefault="008836FE" w:rsidP="00834AAB">
      <w:pPr>
        <w:keepNext/>
        <w:tabs>
          <w:tab w:val="left" w:pos="-720"/>
        </w:tabs>
        <w:suppressAutoHyphens/>
        <w:contextualSpacing/>
        <w:rPr>
          <w:rFonts w:ascii="Times New Roman" w:hAnsi="Times New Roman" w:cs="Times New Roman"/>
          <w:sz w:val="24"/>
          <w:szCs w:val="24"/>
        </w:rPr>
      </w:pPr>
      <w:r w:rsidRPr="00A74402">
        <w:rPr>
          <w:rFonts w:ascii="Times New Roman" w:hAnsi="Times New Roman" w:cs="Times New Roman"/>
          <w:sz w:val="24"/>
          <w:szCs w:val="24"/>
        </w:rPr>
        <w:tab/>
      </w:r>
      <w:r w:rsidR="00A8273D" w:rsidRPr="00A74402">
        <w:rPr>
          <w:rFonts w:ascii="Times New Roman" w:hAnsi="Times New Roman" w:cs="Times New Roman"/>
          <w:sz w:val="24"/>
          <w:szCs w:val="24"/>
        </w:rPr>
        <w:t xml:space="preserve">Sin embargo, lo </w:t>
      </w:r>
      <w:r w:rsidRPr="00A74402">
        <w:rPr>
          <w:rFonts w:ascii="Times New Roman" w:hAnsi="Times New Roman" w:cs="Times New Roman"/>
          <w:sz w:val="24"/>
          <w:szCs w:val="24"/>
        </w:rPr>
        <w:t xml:space="preserve">anterior no menoscaba la importancia de la innovación como </w:t>
      </w:r>
      <w:r w:rsidR="004A129B" w:rsidRPr="00A74402">
        <w:rPr>
          <w:rFonts w:ascii="Times New Roman" w:hAnsi="Times New Roman" w:cs="Times New Roman"/>
          <w:sz w:val="24"/>
          <w:szCs w:val="24"/>
        </w:rPr>
        <w:t xml:space="preserve">componente de </w:t>
      </w:r>
      <w:r w:rsidRPr="00A74402">
        <w:rPr>
          <w:rFonts w:ascii="Times New Roman" w:hAnsi="Times New Roman" w:cs="Times New Roman"/>
          <w:sz w:val="24"/>
          <w:szCs w:val="24"/>
        </w:rPr>
        <w:t xml:space="preserve">una estrategia de crecimiento y desarrollo. </w:t>
      </w:r>
      <w:r w:rsidR="00DB2373" w:rsidRPr="00A74402">
        <w:rPr>
          <w:rFonts w:ascii="Times New Roman" w:hAnsi="Times New Roman" w:cs="Times New Roman"/>
          <w:sz w:val="24"/>
          <w:szCs w:val="24"/>
        </w:rPr>
        <w:t xml:space="preserve">Chile tiene experiencias históricas donde inversión e innovación se complementaron de forma significativa. </w:t>
      </w:r>
      <w:r w:rsidR="004A129B" w:rsidRPr="00A74402">
        <w:rPr>
          <w:rFonts w:ascii="Times New Roman" w:hAnsi="Times New Roman" w:cs="Times New Roman"/>
          <w:sz w:val="24"/>
          <w:szCs w:val="24"/>
        </w:rPr>
        <w:t xml:space="preserve">Así ocurrió con </w:t>
      </w:r>
      <w:r w:rsidR="00DB2373" w:rsidRPr="00A74402">
        <w:rPr>
          <w:rFonts w:ascii="Times New Roman" w:hAnsi="Times New Roman" w:cs="Times New Roman"/>
          <w:sz w:val="24"/>
          <w:szCs w:val="24"/>
        </w:rPr>
        <w:t>el ferrocarril en el siglo XIX</w:t>
      </w:r>
      <w:r w:rsidR="004A129B" w:rsidRPr="00A74402">
        <w:rPr>
          <w:rFonts w:ascii="Times New Roman" w:hAnsi="Times New Roman" w:cs="Times New Roman"/>
          <w:sz w:val="24"/>
          <w:szCs w:val="24"/>
        </w:rPr>
        <w:t xml:space="preserve"> y la industrialización sustitutiva de</w:t>
      </w:r>
      <w:r w:rsidR="00DB2373" w:rsidRPr="00A74402">
        <w:rPr>
          <w:rFonts w:ascii="Times New Roman" w:hAnsi="Times New Roman" w:cs="Times New Roman"/>
          <w:sz w:val="24"/>
          <w:szCs w:val="24"/>
        </w:rPr>
        <w:t xml:space="preserve"> mediados del siglo XX</w:t>
      </w:r>
      <w:r w:rsidR="004A129B" w:rsidRPr="00A74402">
        <w:rPr>
          <w:rFonts w:ascii="Times New Roman" w:hAnsi="Times New Roman" w:cs="Times New Roman"/>
          <w:sz w:val="24"/>
          <w:szCs w:val="24"/>
        </w:rPr>
        <w:t xml:space="preserve">, que constituyen procesos de emergencia de </w:t>
      </w:r>
      <w:r w:rsidR="00FD2E68" w:rsidRPr="00A74402">
        <w:rPr>
          <w:rFonts w:ascii="Times New Roman" w:hAnsi="Times New Roman" w:cs="Times New Roman"/>
          <w:sz w:val="24"/>
          <w:szCs w:val="24"/>
        </w:rPr>
        <w:t xml:space="preserve">nuevas industrias con nuevos productos y </w:t>
      </w:r>
      <w:r w:rsidR="004A129B" w:rsidRPr="00A74402">
        <w:rPr>
          <w:rFonts w:ascii="Times New Roman" w:hAnsi="Times New Roman" w:cs="Times New Roman"/>
          <w:sz w:val="24"/>
          <w:szCs w:val="24"/>
        </w:rPr>
        <w:t xml:space="preserve">nuevos </w:t>
      </w:r>
      <w:r w:rsidR="00FD2E68" w:rsidRPr="00A74402">
        <w:rPr>
          <w:rFonts w:ascii="Times New Roman" w:hAnsi="Times New Roman" w:cs="Times New Roman"/>
          <w:sz w:val="24"/>
          <w:szCs w:val="24"/>
        </w:rPr>
        <w:t>procesos productivos</w:t>
      </w:r>
      <w:r w:rsidR="004A129B" w:rsidRPr="00A74402">
        <w:rPr>
          <w:rFonts w:ascii="Times New Roman" w:hAnsi="Times New Roman" w:cs="Times New Roman"/>
          <w:sz w:val="24"/>
          <w:szCs w:val="24"/>
        </w:rPr>
        <w:t>.</w:t>
      </w:r>
    </w:p>
    <w:p w14:paraId="320AD592" w14:textId="45AEA7B1" w:rsidR="00D340B2" w:rsidRPr="00A74402" w:rsidRDefault="00B34EF4" w:rsidP="00537316">
      <w:pPr>
        <w:keepNext/>
        <w:tabs>
          <w:tab w:val="left" w:pos="-720"/>
        </w:tabs>
        <w:suppressAutoHyphens/>
        <w:rPr>
          <w:rFonts w:ascii="Times New Roman" w:hAnsi="Times New Roman" w:cs="Times New Roman"/>
          <w:sz w:val="24"/>
          <w:szCs w:val="24"/>
        </w:rPr>
      </w:pPr>
      <w:r w:rsidRPr="00A74402">
        <w:rPr>
          <w:rFonts w:ascii="Times New Roman" w:hAnsi="Times New Roman" w:cs="Times New Roman"/>
          <w:sz w:val="24"/>
          <w:szCs w:val="24"/>
        </w:rPr>
        <w:tab/>
        <w:t>En el ciclo histórico marcado por la economía abierta y exportadora de recursos naturales, el proceso de innovación estuvo dominado por la producción de nuevas fuentes de alimentos y materias primas que ya se conocían en el Chile de la primera mitad del siglo XX, pero que sólo llegaron a explotarse a escala masiva desde los años ochenta. La generación de nuevos productos y procesos atrajo nuevas tecnologías, nuevas inversiones y por tanto nueva disponibilidad de créditos. Todo ello se hizo en base al reforzamiento de los derechos de propiedad privada, en el contexto de una política económica que favoreció vía privatizaciones, regulaciones y financiamiento a la gran empresa y no a las PYME</w:t>
      </w:r>
      <w:r w:rsidR="00425FC8" w:rsidRPr="00A74402">
        <w:rPr>
          <w:rFonts w:ascii="Times New Roman" w:hAnsi="Times New Roman" w:cs="Times New Roman"/>
          <w:sz w:val="24"/>
          <w:szCs w:val="24"/>
        </w:rPr>
        <w:t>s</w:t>
      </w:r>
      <w:r w:rsidRPr="00A74402">
        <w:rPr>
          <w:rFonts w:ascii="Times New Roman" w:hAnsi="Times New Roman" w:cs="Times New Roman"/>
          <w:sz w:val="24"/>
          <w:szCs w:val="24"/>
        </w:rPr>
        <w:t xml:space="preserve">. </w:t>
      </w:r>
      <w:r w:rsidR="00425FC8" w:rsidRPr="00A74402">
        <w:rPr>
          <w:rFonts w:ascii="Times New Roman" w:hAnsi="Times New Roman" w:cs="Times New Roman"/>
          <w:sz w:val="24"/>
          <w:szCs w:val="24"/>
        </w:rPr>
        <w:t>E</w:t>
      </w:r>
      <w:r w:rsidRPr="00A74402">
        <w:rPr>
          <w:rFonts w:ascii="Times New Roman" w:hAnsi="Times New Roman" w:cs="Times New Roman"/>
          <w:sz w:val="24"/>
          <w:szCs w:val="24"/>
        </w:rPr>
        <w:t xml:space="preserve">llo fue acompañado por incentivos para la explotación extensiva de recursos naturales sin consideraciones respecto a las externalidades negativas. En suma, se trató de un modelo relativamente simple: así como importación de máquinas y equipos con su conocimiento embebido y exportación de materias primas, basado en un modelo </w:t>
      </w:r>
      <w:r w:rsidR="00425FC8" w:rsidRPr="00A74402">
        <w:rPr>
          <w:rFonts w:ascii="Times New Roman" w:hAnsi="Times New Roman" w:cs="Times New Roman"/>
          <w:sz w:val="24"/>
          <w:szCs w:val="24"/>
        </w:rPr>
        <w:t xml:space="preserve">de </w:t>
      </w:r>
      <w:r w:rsidRPr="00A74402">
        <w:rPr>
          <w:rFonts w:ascii="Times New Roman" w:hAnsi="Times New Roman" w:cs="Times New Roman"/>
          <w:sz w:val="24"/>
          <w:szCs w:val="24"/>
        </w:rPr>
        <w:t>explotación no sostenible de recursos naturales que causó un deterioro persistente de los recursos ambientales.</w:t>
      </w:r>
    </w:p>
    <w:p w14:paraId="5A5E35B2" w14:textId="136D9A56" w:rsidR="00B40F6C" w:rsidRPr="00A74402" w:rsidRDefault="00225289" w:rsidP="00834AAB">
      <w:pPr>
        <w:keepNext/>
        <w:tabs>
          <w:tab w:val="left" w:pos="-720"/>
        </w:tabs>
        <w:suppressAutoHyphens/>
        <w:contextualSpacing/>
        <w:rPr>
          <w:rFonts w:ascii="Times New Roman" w:hAnsi="Times New Roman" w:cs="Times New Roman"/>
          <w:sz w:val="24"/>
          <w:szCs w:val="24"/>
        </w:rPr>
      </w:pPr>
      <w:r w:rsidRPr="00A74402">
        <w:rPr>
          <w:rFonts w:ascii="Times New Roman" w:hAnsi="Times New Roman" w:cs="Times New Roman"/>
          <w:sz w:val="24"/>
          <w:szCs w:val="24"/>
        </w:rPr>
        <w:tab/>
      </w:r>
      <w:r w:rsidR="00871775" w:rsidRPr="00A74402">
        <w:rPr>
          <w:rFonts w:ascii="Times New Roman" w:hAnsi="Times New Roman" w:cs="Times New Roman"/>
          <w:sz w:val="24"/>
          <w:szCs w:val="24"/>
        </w:rPr>
        <w:t>Esto no quiere decir que no hubo aprendizaje tecnológico</w:t>
      </w:r>
      <w:r w:rsidR="00910DFC" w:rsidRPr="00A74402">
        <w:rPr>
          <w:rFonts w:ascii="Times New Roman" w:hAnsi="Times New Roman" w:cs="Times New Roman"/>
          <w:sz w:val="24"/>
          <w:szCs w:val="24"/>
        </w:rPr>
        <w:t xml:space="preserve"> mediante la introducción de nuevos productos, procesos y formas de organización</w:t>
      </w:r>
      <w:r w:rsidR="00871775" w:rsidRPr="00A74402">
        <w:rPr>
          <w:rFonts w:ascii="Times New Roman" w:hAnsi="Times New Roman" w:cs="Times New Roman"/>
          <w:sz w:val="24"/>
          <w:szCs w:val="24"/>
        </w:rPr>
        <w:t xml:space="preserve">. </w:t>
      </w:r>
      <w:r w:rsidR="00910DFC" w:rsidRPr="00A74402">
        <w:rPr>
          <w:rFonts w:ascii="Times New Roman" w:hAnsi="Times New Roman" w:cs="Times New Roman"/>
          <w:sz w:val="24"/>
          <w:szCs w:val="24"/>
        </w:rPr>
        <w:t xml:space="preserve">Sin embargo, los </w:t>
      </w:r>
      <w:r w:rsidR="00425FC8" w:rsidRPr="00A74402">
        <w:rPr>
          <w:rFonts w:ascii="Times New Roman" w:hAnsi="Times New Roman" w:cs="Times New Roman"/>
          <w:sz w:val="24"/>
          <w:szCs w:val="24"/>
        </w:rPr>
        <w:t>antecedentes</w:t>
      </w:r>
      <w:r w:rsidR="0001189A" w:rsidRPr="00A74402">
        <w:rPr>
          <w:rFonts w:ascii="Times New Roman" w:hAnsi="Times New Roman" w:cs="Times New Roman"/>
          <w:sz w:val="24"/>
          <w:szCs w:val="24"/>
        </w:rPr>
        <w:t xml:space="preserve"> expuestos</w:t>
      </w:r>
      <w:r w:rsidR="00910DFC" w:rsidRPr="00A74402">
        <w:rPr>
          <w:rFonts w:ascii="Times New Roman" w:hAnsi="Times New Roman" w:cs="Times New Roman"/>
          <w:sz w:val="24"/>
          <w:szCs w:val="24"/>
        </w:rPr>
        <w:t xml:space="preserve"> muestran que la economía de recursos naturales está enfrentando un ciclo de rendimientos decrecientes que sólo </w:t>
      </w:r>
      <w:r w:rsidR="00D03EBB" w:rsidRPr="00A74402">
        <w:rPr>
          <w:rFonts w:ascii="Times New Roman" w:hAnsi="Times New Roman" w:cs="Times New Roman"/>
          <w:sz w:val="24"/>
          <w:szCs w:val="24"/>
        </w:rPr>
        <w:t xml:space="preserve">se </w:t>
      </w:r>
      <w:r w:rsidR="00910DFC" w:rsidRPr="00A74402">
        <w:rPr>
          <w:rFonts w:ascii="Times New Roman" w:hAnsi="Times New Roman" w:cs="Times New Roman"/>
          <w:sz w:val="24"/>
          <w:szCs w:val="24"/>
        </w:rPr>
        <w:t xml:space="preserve">superará en la medida </w:t>
      </w:r>
      <w:r w:rsidR="00425FC8" w:rsidRPr="00A74402">
        <w:rPr>
          <w:rFonts w:ascii="Times New Roman" w:hAnsi="Times New Roman" w:cs="Times New Roman"/>
          <w:sz w:val="24"/>
          <w:szCs w:val="24"/>
        </w:rPr>
        <w:t xml:space="preserve">que </w:t>
      </w:r>
      <w:r w:rsidR="00C97151" w:rsidRPr="00A74402">
        <w:rPr>
          <w:rFonts w:ascii="Times New Roman" w:hAnsi="Times New Roman" w:cs="Times New Roman"/>
          <w:sz w:val="24"/>
          <w:szCs w:val="24"/>
        </w:rPr>
        <w:t xml:space="preserve">se retome la dinámica de inversiones, junto con </w:t>
      </w:r>
      <w:r w:rsidR="00910DFC" w:rsidRPr="00A74402">
        <w:rPr>
          <w:rFonts w:ascii="Times New Roman" w:hAnsi="Times New Roman" w:cs="Times New Roman"/>
          <w:sz w:val="24"/>
          <w:szCs w:val="24"/>
        </w:rPr>
        <w:t xml:space="preserve">sistemas </w:t>
      </w:r>
      <w:r w:rsidR="00C97151" w:rsidRPr="00A74402">
        <w:rPr>
          <w:rFonts w:ascii="Times New Roman" w:hAnsi="Times New Roman" w:cs="Times New Roman"/>
          <w:sz w:val="24"/>
          <w:szCs w:val="24"/>
        </w:rPr>
        <w:t>de innovación y aprendizaje inclusivo hacia emprendedores y las PYME</w:t>
      </w:r>
      <w:r w:rsidR="00425FC8" w:rsidRPr="00A74402">
        <w:rPr>
          <w:rFonts w:ascii="Times New Roman" w:hAnsi="Times New Roman" w:cs="Times New Roman"/>
          <w:sz w:val="24"/>
          <w:szCs w:val="24"/>
        </w:rPr>
        <w:t xml:space="preserve">s; en éstas suelen ubicarse brechas de productividad </w:t>
      </w:r>
      <w:r w:rsidR="006103FA" w:rsidRPr="00A74402">
        <w:rPr>
          <w:rFonts w:ascii="Times New Roman" w:hAnsi="Times New Roman" w:cs="Times New Roman"/>
          <w:sz w:val="24"/>
          <w:szCs w:val="24"/>
        </w:rPr>
        <w:t xml:space="preserve">mayores </w:t>
      </w:r>
      <w:r w:rsidR="00425FC8" w:rsidRPr="00A74402">
        <w:rPr>
          <w:rFonts w:ascii="Times New Roman" w:hAnsi="Times New Roman" w:cs="Times New Roman"/>
          <w:sz w:val="24"/>
          <w:szCs w:val="24"/>
        </w:rPr>
        <w:t xml:space="preserve">que en las </w:t>
      </w:r>
      <w:r w:rsidR="003B6760" w:rsidRPr="00A74402">
        <w:rPr>
          <w:rFonts w:ascii="Times New Roman" w:hAnsi="Times New Roman" w:cs="Times New Roman"/>
          <w:sz w:val="24"/>
          <w:szCs w:val="24"/>
        </w:rPr>
        <w:t xml:space="preserve">empresas </w:t>
      </w:r>
      <w:r w:rsidR="00425FC8" w:rsidRPr="00A74402">
        <w:rPr>
          <w:rFonts w:ascii="Times New Roman" w:hAnsi="Times New Roman" w:cs="Times New Roman"/>
          <w:sz w:val="24"/>
          <w:szCs w:val="24"/>
        </w:rPr>
        <w:t>grandes respecto a las mejores prácticas y tecnologías</w:t>
      </w:r>
      <w:r w:rsidR="00910DFC" w:rsidRPr="00A74402">
        <w:rPr>
          <w:rFonts w:ascii="Times New Roman" w:hAnsi="Times New Roman" w:cs="Times New Roman"/>
          <w:sz w:val="24"/>
          <w:szCs w:val="24"/>
        </w:rPr>
        <w:t>.</w:t>
      </w:r>
      <w:r w:rsidR="00425FC8" w:rsidRPr="00A74402">
        <w:rPr>
          <w:rFonts w:ascii="Times New Roman" w:hAnsi="Times New Roman" w:cs="Times New Roman"/>
          <w:sz w:val="24"/>
          <w:szCs w:val="24"/>
        </w:rPr>
        <w:t xml:space="preserve"> En consecuencia, en ellas  </w:t>
      </w:r>
      <w:r w:rsidR="003B6760" w:rsidRPr="00A74402">
        <w:rPr>
          <w:rFonts w:ascii="Times New Roman" w:hAnsi="Times New Roman" w:cs="Times New Roman"/>
          <w:sz w:val="24"/>
          <w:szCs w:val="24"/>
        </w:rPr>
        <w:t>se encuentran</w:t>
      </w:r>
      <w:r w:rsidR="00425FC8" w:rsidRPr="00A74402">
        <w:rPr>
          <w:rFonts w:ascii="Times New Roman" w:hAnsi="Times New Roman" w:cs="Times New Roman"/>
          <w:sz w:val="24"/>
          <w:szCs w:val="24"/>
        </w:rPr>
        <w:t xml:space="preserve"> los mayores espacios para elevar la PTF promedio del país.</w:t>
      </w:r>
    </w:p>
    <w:p w14:paraId="3F4EEDB0" w14:textId="63E187E5" w:rsidR="00D340B2" w:rsidRPr="00A74402" w:rsidRDefault="00225289" w:rsidP="00834AAB">
      <w:pPr>
        <w:keepNext/>
        <w:tabs>
          <w:tab w:val="left" w:pos="-720"/>
        </w:tabs>
        <w:suppressAutoHyphens/>
        <w:contextualSpacing/>
        <w:rPr>
          <w:rFonts w:ascii="Times New Roman" w:hAnsi="Times New Roman" w:cs="Times New Roman"/>
          <w:sz w:val="24"/>
          <w:szCs w:val="24"/>
        </w:rPr>
      </w:pPr>
      <w:r w:rsidRPr="00A74402">
        <w:rPr>
          <w:rFonts w:ascii="Times New Roman" w:hAnsi="Times New Roman" w:cs="Times New Roman"/>
          <w:sz w:val="24"/>
          <w:szCs w:val="24"/>
        </w:rPr>
        <w:tab/>
      </w:r>
      <w:r w:rsidR="00910DFC" w:rsidRPr="00A74402">
        <w:rPr>
          <w:rFonts w:ascii="Times New Roman" w:hAnsi="Times New Roman" w:cs="Times New Roman"/>
          <w:sz w:val="24"/>
          <w:szCs w:val="24"/>
        </w:rPr>
        <w:t>Hacia el futuro, Chile seguirá dependiendo de la explotación de recursos naturales por las décadas que vienen (p. ej. Codelco dispone de reservas para una explotación continuada del cobre por 70 años), pero se hace cada vez más evidente que ya no podrá explotarlos como lo hizo hasta ahora. Un conjunto de restricciones institucionales, naturales y económic</w:t>
      </w:r>
      <w:r w:rsidR="0098494D" w:rsidRPr="00A74402">
        <w:rPr>
          <w:rFonts w:ascii="Times New Roman" w:hAnsi="Times New Roman" w:cs="Times New Roman"/>
          <w:sz w:val="24"/>
          <w:szCs w:val="24"/>
        </w:rPr>
        <w:t>a</w:t>
      </w:r>
      <w:r w:rsidR="00910DFC" w:rsidRPr="00A74402">
        <w:rPr>
          <w:rFonts w:ascii="Times New Roman" w:hAnsi="Times New Roman" w:cs="Times New Roman"/>
          <w:sz w:val="24"/>
          <w:szCs w:val="24"/>
        </w:rPr>
        <w:t xml:space="preserve">s determinan la necesidad de transitar desde un modelo de explotación de bajo contenido tecnológico, hacia un modelo de acumulación más intensivo en conocimiento e innovación. </w:t>
      </w:r>
      <w:r w:rsidRPr="00A74402">
        <w:rPr>
          <w:rFonts w:ascii="Times New Roman" w:hAnsi="Times New Roman" w:cs="Times New Roman"/>
          <w:sz w:val="24"/>
          <w:szCs w:val="24"/>
        </w:rPr>
        <w:t xml:space="preserve"> </w:t>
      </w:r>
    </w:p>
    <w:p w14:paraId="149E32D3" w14:textId="5E2756B3" w:rsidR="00D340B2" w:rsidRPr="00A74402" w:rsidRDefault="00DB2373" w:rsidP="00834AAB">
      <w:pPr>
        <w:keepNext/>
        <w:tabs>
          <w:tab w:val="left" w:pos="-720"/>
        </w:tabs>
        <w:suppressAutoHyphens/>
        <w:contextualSpacing/>
        <w:rPr>
          <w:rFonts w:ascii="Times New Roman" w:hAnsi="Times New Roman" w:cs="Times New Roman"/>
          <w:sz w:val="24"/>
          <w:szCs w:val="24"/>
        </w:rPr>
      </w:pPr>
      <w:r w:rsidRPr="00A74402">
        <w:rPr>
          <w:rFonts w:ascii="Times New Roman" w:hAnsi="Times New Roman" w:cs="Times New Roman"/>
          <w:sz w:val="24"/>
          <w:szCs w:val="24"/>
        </w:rPr>
        <w:tab/>
      </w:r>
      <w:r w:rsidR="00225289" w:rsidRPr="00A74402">
        <w:rPr>
          <w:rFonts w:ascii="Times New Roman" w:hAnsi="Times New Roman" w:cs="Times New Roman"/>
          <w:sz w:val="24"/>
          <w:szCs w:val="24"/>
        </w:rPr>
        <w:t xml:space="preserve">Ello se hace indispensable en estos tiempos, cuando </w:t>
      </w:r>
      <w:r w:rsidR="00B60E7C" w:rsidRPr="00A74402">
        <w:rPr>
          <w:rFonts w:ascii="Times New Roman" w:hAnsi="Times New Roman" w:cs="Times New Roman"/>
          <w:sz w:val="24"/>
          <w:szCs w:val="24"/>
        </w:rPr>
        <w:t xml:space="preserve">el proceso </w:t>
      </w:r>
      <w:r w:rsidRPr="00A74402">
        <w:rPr>
          <w:rFonts w:ascii="Times New Roman" w:hAnsi="Times New Roman" w:cs="Times New Roman"/>
          <w:sz w:val="24"/>
          <w:szCs w:val="24"/>
        </w:rPr>
        <w:t>de acumulación está s</w:t>
      </w:r>
      <w:r w:rsidR="00B60E7C" w:rsidRPr="00A74402">
        <w:rPr>
          <w:rFonts w:ascii="Times New Roman" w:hAnsi="Times New Roman" w:cs="Times New Roman"/>
          <w:sz w:val="24"/>
          <w:szCs w:val="24"/>
        </w:rPr>
        <w:t>iendo profundamente influenciado</w:t>
      </w:r>
      <w:r w:rsidRPr="00A74402">
        <w:rPr>
          <w:rFonts w:ascii="Times New Roman" w:hAnsi="Times New Roman" w:cs="Times New Roman"/>
          <w:sz w:val="24"/>
          <w:szCs w:val="24"/>
        </w:rPr>
        <w:t xml:space="preserve"> por diversas oleadas de nuevas tecnologías (p. ej. biotecnología, nanotecnología, internet de las </w:t>
      </w:r>
      <w:r w:rsidRPr="00A74402">
        <w:rPr>
          <w:rFonts w:ascii="Times New Roman" w:hAnsi="Times New Roman" w:cs="Times New Roman"/>
          <w:i/>
          <w:sz w:val="24"/>
          <w:szCs w:val="24"/>
        </w:rPr>
        <w:t>cosas</w:t>
      </w:r>
      <w:r w:rsidRPr="00A74402">
        <w:rPr>
          <w:rFonts w:ascii="Times New Roman" w:hAnsi="Times New Roman" w:cs="Times New Roman"/>
          <w:sz w:val="24"/>
          <w:szCs w:val="24"/>
        </w:rPr>
        <w:t>, big data) que</w:t>
      </w:r>
      <w:r w:rsidR="00193CF3" w:rsidRPr="00A74402">
        <w:rPr>
          <w:rFonts w:ascii="Times New Roman" w:hAnsi="Times New Roman" w:cs="Times New Roman"/>
          <w:sz w:val="24"/>
          <w:szCs w:val="24"/>
        </w:rPr>
        <w:t>,</w:t>
      </w:r>
      <w:r w:rsidRPr="00A74402">
        <w:rPr>
          <w:rFonts w:ascii="Times New Roman" w:hAnsi="Times New Roman" w:cs="Times New Roman"/>
          <w:sz w:val="24"/>
          <w:szCs w:val="24"/>
        </w:rPr>
        <w:t xml:space="preserve"> a diferencia de las precedentes en el siglo XIX y XX, tienden a </w:t>
      </w:r>
      <w:r w:rsidR="002E6F87" w:rsidRPr="00A74402">
        <w:rPr>
          <w:rFonts w:ascii="Times New Roman" w:hAnsi="Times New Roman" w:cs="Times New Roman"/>
          <w:sz w:val="24"/>
          <w:szCs w:val="24"/>
        </w:rPr>
        <w:t xml:space="preserve">incorporarse rápidamente en Chile. Sin embargo, a medida que evolucionan se hacen </w:t>
      </w:r>
      <w:r w:rsidR="00C97151" w:rsidRPr="00A74402">
        <w:rPr>
          <w:rFonts w:ascii="Times New Roman" w:hAnsi="Times New Roman" w:cs="Times New Roman"/>
          <w:sz w:val="24"/>
          <w:szCs w:val="24"/>
        </w:rPr>
        <w:t xml:space="preserve">cada vez </w:t>
      </w:r>
      <w:r w:rsidR="002E6F87" w:rsidRPr="00A74402">
        <w:rPr>
          <w:rFonts w:ascii="Times New Roman" w:hAnsi="Times New Roman" w:cs="Times New Roman"/>
          <w:sz w:val="24"/>
          <w:szCs w:val="24"/>
        </w:rPr>
        <w:t xml:space="preserve">más complejas </w:t>
      </w:r>
      <w:r w:rsidR="00C97151" w:rsidRPr="00A74402">
        <w:rPr>
          <w:rFonts w:ascii="Times New Roman" w:hAnsi="Times New Roman" w:cs="Times New Roman"/>
          <w:sz w:val="24"/>
          <w:szCs w:val="24"/>
        </w:rPr>
        <w:t xml:space="preserve">por lo que requieren </w:t>
      </w:r>
      <w:r w:rsidRPr="00A74402">
        <w:rPr>
          <w:rFonts w:ascii="Times New Roman" w:hAnsi="Times New Roman" w:cs="Times New Roman"/>
          <w:sz w:val="24"/>
          <w:szCs w:val="24"/>
        </w:rPr>
        <w:t xml:space="preserve">de la generación de capacidades complementarias que </w:t>
      </w:r>
      <w:r w:rsidR="00C97151" w:rsidRPr="00A74402">
        <w:rPr>
          <w:rFonts w:ascii="Times New Roman" w:hAnsi="Times New Roman" w:cs="Times New Roman"/>
          <w:sz w:val="24"/>
          <w:szCs w:val="24"/>
        </w:rPr>
        <w:t xml:space="preserve">no se limitan a las firmas, sino que requieren de redes </w:t>
      </w:r>
      <w:r w:rsidRPr="00A74402">
        <w:rPr>
          <w:rFonts w:ascii="Times New Roman" w:hAnsi="Times New Roman" w:cs="Times New Roman"/>
          <w:sz w:val="24"/>
          <w:szCs w:val="24"/>
        </w:rPr>
        <w:t>y alianzas público-privadas.</w:t>
      </w:r>
      <w:r w:rsidR="00C97151" w:rsidRPr="00A74402">
        <w:rPr>
          <w:rFonts w:ascii="Times New Roman" w:hAnsi="Times New Roman" w:cs="Times New Roman"/>
          <w:sz w:val="24"/>
          <w:szCs w:val="24"/>
        </w:rPr>
        <w:t xml:space="preserve"> </w:t>
      </w:r>
    </w:p>
    <w:p w14:paraId="027BA447" w14:textId="1BF83055" w:rsidR="008F4602" w:rsidRPr="00A74402" w:rsidRDefault="00B40F6C" w:rsidP="00834AAB">
      <w:pPr>
        <w:keepNext/>
        <w:tabs>
          <w:tab w:val="left" w:pos="-720"/>
        </w:tabs>
        <w:suppressAutoHyphens/>
        <w:contextualSpacing/>
        <w:rPr>
          <w:rFonts w:ascii="Times New Roman" w:hAnsi="Times New Roman" w:cs="Times New Roman"/>
          <w:sz w:val="24"/>
          <w:szCs w:val="24"/>
        </w:rPr>
      </w:pPr>
      <w:r w:rsidRPr="00A74402">
        <w:rPr>
          <w:rFonts w:ascii="Times New Roman" w:hAnsi="Times New Roman" w:cs="Times New Roman"/>
          <w:sz w:val="24"/>
          <w:szCs w:val="24"/>
        </w:rPr>
        <w:tab/>
      </w:r>
      <w:r w:rsidR="002E6F87" w:rsidRPr="00A74402">
        <w:rPr>
          <w:rFonts w:ascii="Times New Roman" w:hAnsi="Times New Roman" w:cs="Times New Roman"/>
          <w:sz w:val="24"/>
          <w:szCs w:val="24"/>
        </w:rPr>
        <w:t xml:space="preserve">El </w:t>
      </w:r>
      <w:r w:rsidR="001F3CEE" w:rsidRPr="00A74402">
        <w:rPr>
          <w:rFonts w:ascii="Times New Roman" w:hAnsi="Times New Roman" w:cs="Times New Roman"/>
          <w:sz w:val="24"/>
          <w:szCs w:val="24"/>
        </w:rPr>
        <w:t xml:space="preserve">problema histórico que confronta Chile </w:t>
      </w:r>
      <w:r w:rsidR="002D0EF1" w:rsidRPr="00A74402">
        <w:rPr>
          <w:rFonts w:ascii="Times New Roman" w:hAnsi="Times New Roman" w:cs="Times New Roman"/>
          <w:sz w:val="24"/>
          <w:szCs w:val="24"/>
        </w:rPr>
        <w:t xml:space="preserve">actualmente </w:t>
      </w:r>
      <w:r w:rsidR="001F3CEE" w:rsidRPr="00A74402">
        <w:rPr>
          <w:rFonts w:ascii="Times New Roman" w:hAnsi="Times New Roman" w:cs="Times New Roman"/>
          <w:sz w:val="24"/>
          <w:szCs w:val="24"/>
        </w:rPr>
        <w:t xml:space="preserve">es que esas oportunidades de inversión </w:t>
      </w:r>
      <w:r w:rsidR="002D0EF1" w:rsidRPr="00A74402">
        <w:rPr>
          <w:rFonts w:ascii="Times New Roman" w:hAnsi="Times New Roman" w:cs="Times New Roman"/>
          <w:sz w:val="24"/>
          <w:szCs w:val="24"/>
        </w:rPr>
        <w:t xml:space="preserve">ya </w:t>
      </w:r>
      <w:r w:rsidR="001F3CEE" w:rsidRPr="00A74402">
        <w:rPr>
          <w:rFonts w:ascii="Times New Roman" w:hAnsi="Times New Roman" w:cs="Times New Roman"/>
          <w:sz w:val="24"/>
          <w:szCs w:val="24"/>
        </w:rPr>
        <w:t xml:space="preserve">no </w:t>
      </w:r>
      <w:r w:rsidR="008F4602" w:rsidRPr="00A74402">
        <w:rPr>
          <w:rFonts w:ascii="Times New Roman" w:hAnsi="Times New Roman" w:cs="Times New Roman"/>
          <w:sz w:val="24"/>
          <w:szCs w:val="24"/>
        </w:rPr>
        <w:t xml:space="preserve">dependen sólo de </w:t>
      </w:r>
      <w:r w:rsidR="002D0EF1" w:rsidRPr="00A74402">
        <w:rPr>
          <w:rFonts w:ascii="Times New Roman" w:hAnsi="Times New Roman" w:cs="Times New Roman"/>
          <w:sz w:val="24"/>
          <w:szCs w:val="24"/>
        </w:rPr>
        <w:t>derechos de propiedad asegurados</w:t>
      </w:r>
      <w:r w:rsidR="008F4602" w:rsidRPr="00A74402">
        <w:rPr>
          <w:rFonts w:ascii="Times New Roman" w:hAnsi="Times New Roman" w:cs="Times New Roman"/>
          <w:sz w:val="24"/>
          <w:szCs w:val="24"/>
        </w:rPr>
        <w:t>, sino de una institucionalidad regulatoria adecuada. También r</w:t>
      </w:r>
      <w:r w:rsidR="002D0EF1" w:rsidRPr="00A74402">
        <w:rPr>
          <w:rFonts w:ascii="Times New Roman" w:hAnsi="Times New Roman" w:cs="Times New Roman"/>
          <w:sz w:val="24"/>
          <w:szCs w:val="24"/>
        </w:rPr>
        <w:t xml:space="preserve">equieren </w:t>
      </w:r>
      <w:r w:rsidR="008F4602" w:rsidRPr="00A74402">
        <w:rPr>
          <w:rFonts w:ascii="Times New Roman" w:hAnsi="Times New Roman" w:cs="Times New Roman"/>
          <w:sz w:val="24"/>
          <w:szCs w:val="24"/>
        </w:rPr>
        <w:t xml:space="preserve">de una infraestructura </w:t>
      </w:r>
      <w:r w:rsidR="00C97151" w:rsidRPr="00A74402">
        <w:rPr>
          <w:rFonts w:ascii="Times New Roman" w:hAnsi="Times New Roman" w:cs="Times New Roman"/>
          <w:sz w:val="24"/>
          <w:szCs w:val="24"/>
        </w:rPr>
        <w:t xml:space="preserve">cada vez más avanzada en materia digital, en </w:t>
      </w:r>
      <w:r w:rsidR="008F4602" w:rsidRPr="00A74402">
        <w:rPr>
          <w:rFonts w:ascii="Times New Roman" w:hAnsi="Times New Roman" w:cs="Times New Roman"/>
          <w:sz w:val="24"/>
          <w:szCs w:val="24"/>
        </w:rPr>
        <w:t>formación de recursos humanos</w:t>
      </w:r>
      <w:r w:rsidR="00C97151" w:rsidRPr="00A74402">
        <w:rPr>
          <w:rFonts w:ascii="Times New Roman" w:hAnsi="Times New Roman" w:cs="Times New Roman"/>
          <w:sz w:val="24"/>
          <w:szCs w:val="24"/>
        </w:rPr>
        <w:t xml:space="preserve"> así como en </w:t>
      </w:r>
      <w:r w:rsidR="008F4602" w:rsidRPr="00A74402">
        <w:rPr>
          <w:rFonts w:ascii="Times New Roman" w:hAnsi="Times New Roman" w:cs="Times New Roman"/>
          <w:sz w:val="24"/>
          <w:szCs w:val="24"/>
        </w:rPr>
        <w:t xml:space="preserve">servicios científicos y tecnológicos.  Todo ello requiere </w:t>
      </w:r>
      <w:r w:rsidR="002D0EF1" w:rsidRPr="00A74402">
        <w:rPr>
          <w:rFonts w:ascii="Times New Roman" w:hAnsi="Times New Roman" w:cs="Times New Roman"/>
          <w:sz w:val="24"/>
          <w:szCs w:val="24"/>
        </w:rPr>
        <w:t xml:space="preserve">que el Estado incursione en áreas que las empresas privadas no pueden hacerlo </w:t>
      </w:r>
      <w:r w:rsidR="00954C8E" w:rsidRPr="00A74402">
        <w:rPr>
          <w:rFonts w:ascii="Times New Roman" w:hAnsi="Times New Roman" w:cs="Times New Roman"/>
          <w:sz w:val="24"/>
          <w:szCs w:val="24"/>
        </w:rPr>
        <w:t xml:space="preserve">por </w:t>
      </w:r>
      <w:r w:rsidR="002D0EF1" w:rsidRPr="00A74402">
        <w:rPr>
          <w:rFonts w:ascii="Times New Roman" w:hAnsi="Times New Roman" w:cs="Times New Roman"/>
          <w:sz w:val="24"/>
          <w:szCs w:val="24"/>
        </w:rPr>
        <w:t xml:space="preserve">sí mismas, ya sea porque se trata de inversiones de muy alto riesgo e incertidumbre, ya sea porque se trata de inversiones con elevadas externalidades y por tanto no apropiables. </w:t>
      </w:r>
      <w:r w:rsidR="008F4602" w:rsidRPr="00A74402">
        <w:rPr>
          <w:rFonts w:ascii="Times New Roman" w:hAnsi="Times New Roman" w:cs="Times New Roman"/>
          <w:sz w:val="24"/>
          <w:szCs w:val="24"/>
        </w:rPr>
        <w:t>En este esfuerzo, el Estado debe superar sus propias fallas de coordinación interinstitucional, así como apoyar la superación de las fallas de coordinación entre privados.</w:t>
      </w:r>
    </w:p>
    <w:p w14:paraId="5DE82C90" w14:textId="55501D7F" w:rsidR="002D0EF1" w:rsidRPr="00A74402" w:rsidRDefault="008F4602" w:rsidP="00834AAB">
      <w:pPr>
        <w:keepNext/>
        <w:tabs>
          <w:tab w:val="left" w:pos="-720"/>
        </w:tabs>
        <w:suppressAutoHyphens/>
        <w:contextualSpacing/>
        <w:rPr>
          <w:rFonts w:ascii="Times New Roman" w:hAnsi="Times New Roman" w:cs="Times New Roman"/>
          <w:sz w:val="24"/>
          <w:szCs w:val="24"/>
        </w:rPr>
      </w:pPr>
      <w:r w:rsidRPr="00A74402">
        <w:rPr>
          <w:rFonts w:ascii="Times New Roman" w:hAnsi="Times New Roman" w:cs="Times New Roman"/>
          <w:sz w:val="24"/>
          <w:szCs w:val="24"/>
        </w:rPr>
        <w:tab/>
        <w:t xml:space="preserve">El crecimiento y la diversificación de la matriz productiva requieren de un Estado activo y no pasivo, lo que supone </w:t>
      </w:r>
      <w:r w:rsidR="002D0EF1" w:rsidRPr="00A74402">
        <w:rPr>
          <w:rFonts w:ascii="Times New Roman" w:hAnsi="Times New Roman" w:cs="Times New Roman"/>
          <w:sz w:val="24"/>
          <w:szCs w:val="24"/>
        </w:rPr>
        <w:t xml:space="preserve">superar el paradigma del Estado subsidiario y avanzar a un nuevo paradigma de Estado para la innovación y el desarrollo, o </w:t>
      </w:r>
      <w:r w:rsidR="00B174BA" w:rsidRPr="00A74402">
        <w:rPr>
          <w:rFonts w:ascii="Times New Roman" w:hAnsi="Times New Roman" w:cs="Times New Roman"/>
          <w:sz w:val="24"/>
          <w:szCs w:val="24"/>
        </w:rPr>
        <w:t>c</w:t>
      </w:r>
      <w:r w:rsidR="00C11B1C" w:rsidRPr="00A74402">
        <w:rPr>
          <w:rFonts w:ascii="Times New Roman" w:hAnsi="Times New Roman" w:cs="Times New Roman"/>
          <w:sz w:val="24"/>
          <w:szCs w:val="24"/>
        </w:rPr>
        <w:t xml:space="preserve">omo </w:t>
      </w:r>
      <w:r w:rsidR="002D0EF1" w:rsidRPr="00A74402">
        <w:rPr>
          <w:rFonts w:ascii="Times New Roman" w:hAnsi="Times New Roman" w:cs="Times New Roman"/>
          <w:sz w:val="24"/>
          <w:szCs w:val="24"/>
        </w:rPr>
        <w:t xml:space="preserve">diría Mazzucato </w:t>
      </w:r>
      <w:r w:rsidR="00871775" w:rsidRPr="00A74402">
        <w:rPr>
          <w:rFonts w:ascii="Times New Roman" w:hAnsi="Times New Roman" w:cs="Times New Roman"/>
          <w:sz w:val="24"/>
          <w:szCs w:val="24"/>
        </w:rPr>
        <w:t>(201</w:t>
      </w:r>
      <w:r w:rsidR="002D5EE7" w:rsidRPr="00A74402">
        <w:rPr>
          <w:rFonts w:ascii="Times New Roman" w:hAnsi="Times New Roman" w:cs="Times New Roman"/>
          <w:sz w:val="24"/>
          <w:szCs w:val="24"/>
        </w:rPr>
        <w:t>5</w:t>
      </w:r>
      <w:r w:rsidR="00871775" w:rsidRPr="00A74402">
        <w:rPr>
          <w:rFonts w:ascii="Times New Roman" w:hAnsi="Times New Roman" w:cs="Times New Roman"/>
          <w:sz w:val="24"/>
          <w:szCs w:val="24"/>
        </w:rPr>
        <w:t xml:space="preserve">) </w:t>
      </w:r>
      <w:r w:rsidR="002D0EF1" w:rsidRPr="00A74402">
        <w:rPr>
          <w:rFonts w:ascii="Times New Roman" w:hAnsi="Times New Roman" w:cs="Times New Roman"/>
          <w:sz w:val="24"/>
          <w:szCs w:val="24"/>
        </w:rPr>
        <w:t xml:space="preserve">un “Estado Emprendedor”. </w:t>
      </w:r>
    </w:p>
    <w:p w14:paraId="21F2A984" w14:textId="28F89659" w:rsidR="001D1116" w:rsidRPr="00A74402" w:rsidRDefault="002D0EF1" w:rsidP="00834AAB">
      <w:pPr>
        <w:autoSpaceDE w:val="0"/>
        <w:autoSpaceDN w:val="0"/>
        <w:adjustRightInd w:val="0"/>
        <w:contextualSpacing/>
        <w:rPr>
          <w:rFonts w:ascii="Times New Roman" w:hAnsi="Times New Roman" w:cs="Times New Roman"/>
          <w:sz w:val="24"/>
          <w:szCs w:val="24"/>
        </w:rPr>
      </w:pPr>
      <w:r w:rsidRPr="00A74402">
        <w:rPr>
          <w:rFonts w:ascii="Times New Roman" w:hAnsi="Times New Roman" w:cs="Times New Roman"/>
          <w:sz w:val="24"/>
          <w:szCs w:val="24"/>
        </w:rPr>
        <w:tab/>
        <w:t xml:space="preserve">En síntesis, </w:t>
      </w:r>
      <w:r w:rsidR="00B60E7C" w:rsidRPr="00A74402">
        <w:rPr>
          <w:rFonts w:ascii="Times New Roman" w:hAnsi="Times New Roman" w:cs="Times New Roman"/>
          <w:sz w:val="24"/>
          <w:szCs w:val="24"/>
        </w:rPr>
        <w:t xml:space="preserve">la formación bruta de capital </w:t>
      </w:r>
      <w:r w:rsidR="004E09A3" w:rsidRPr="00A74402">
        <w:rPr>
          <w:rFonts w:ascii="Times New Roman" w:hAnsi="Times New Roman" w:cs="Times New Roman"/>
          <w:sz w:val="24"/>
          <w:szCs w:val="24"/>
        </w:rPr>
        <w:t>será tanto más eficiente y sostenible</w:t>
      </w:r>
      <w:r w:rsidR="00B60E7C" w:rsidRPr="00A74402">
        <w:rPr>
          <w:rFonts w:ascii="Times New Roman" w:hAnsi="Times New Roman" w:cs="Times New Roman"/>
          <w:sz w:val="24"/>
          <w:szCs w:val="24"/>
        </w:rPr>
        <w:t xml:space="preserve">, </w:t>
      </w:r>
      <w:r w:rsidR="004E09A3" w:rsidRPr="00A74402">
        <w:rPr>
          <w:rFonts w:ascii="Times New Roman" w:hAnsi="Times New Roman" w:cs="Times New Roman"/>
          <w:sz w:val="24"/>
          <w:szCs w:val="24"/>
        </w:rPr>
        <w:t>en</w:t>
      </w:r>
      <w:r w:rsidR="00954C8E" w:rsidRPr="00A74402">
        <w:rPr>
          <w:rFonts w:ascii="Times New Roman" w:hAnsi="Times New Roman" w:cs="Times New Roman"/>
          <w:sz w:val="24"/>
          <w:szCs w:val="24"/>
        </w:rPr>
        <w:t xml:space="preserve"> </w:t>
      </w:r>
      <w:r w:rsidR="004E09A3" w:rsidRPr="00A74402">
        <w:rPr>
          <w:rFonts w:ascii="Times New Roman" w:hAnsi="Times New Roman" w:cs="Times New Roman"/>
          <w:sz w:val="24"/>
          <w:szCs w:val="24"/>
        </w:rPr>
        <w:t xml:space="preserve">la medida que esté basada en la innovación. Esto se ve facilitado por las revoluciones tecnológicas en curso. Pero se requieren </w:t>
      </w:r>
      <w:r w:rsidRPr="00A74402">
        <w:rPr>
          <w:rFonts w:ascii="Times New Roman" w:hAnsi="Times New Roman" w:cs="Times New Roman"/>
          <w:sz w:val="24"/>
          <w:szCs w:val="24"/>
        </w:rPr>
        <w:t xml:space="preserve">nuevas políticas públicas, de </w:t>
      </w:r>
      <w:r w:rsidR="00B60E7C" w:rsidRPr="00A74402">
        <w:rPr>
          <w:rFonts w:ascii="Times New Roman" w:hAnsi="Times New Roman" w:cs="Times New Roman"/>
          <w:sz w:val="24"/>
          <w:szCs w:val="24"/>
        </w:rPr>
        <w:t xml:space="preserve">instituciones y regulaciones que generen incentivos </w:t>
      </w:r>
      <w:r w:rsidR="004E09A3" w:rsidRPr="00A74402">
        <w:rPr>
          <w:rFonts w:ascii="Times New Roman" w:hAnsi="Times New Roman" w:cs="Times New Roman"/>
          <w:sz w:val="24"/>
          <w:szCs w:val="24"/>
        </w:rPr>
        <w:t xml:space="preserve">para que las nuevas oleadas de inversiones sean acompañadas por innovaciones tecnológicas e institucionales. </w:t>
      </w:r>
      <w:r w:rsidR="00E97C8C" w:rsidRPr="00A74402">
        <w:rPr>
          <w:rFonts w:ascii="Times New Roman" w:hAnsi="Times New Roman" w:cs="Times New Roman"/>
          <w:sz w:val="24"/>
          <w:szCs w:val="24"/>
        </w:rPr>
        <w:t xml:space="preserve">Este sendero tiene más posibilidades que </w:t>
      </w:r>
      <w:r w:rsidR="00B60E7C" w:rsidRPr="00A74402">
        <w:rPr>
          <w:rFonts w:ascii="Times New Roman" w:hAnsi="Times New Roman" w:cs="Times New Roman"/>
          <w:sz w:val="24"/>
          <w:szCs w:val="24"/>
        </w:rPr>
        <w:t xml:space="preserve">una estrategia que incentiva la inversión </w:t>
      </w:r>
      <w:r w:rsidR="004E09A3" w:rsidRPr="00A74402">
        <w:rPr>
          <w:rFonts w:ascii="Times New Roman" w:hAnsi="Times New Roman" w:cs="Times New Roman"/>
          <w:sz w:val="24"/>
          <w:szCs w:val="24"/>
        </w:rPr>
        <w:t xml:space="preserve">replicando lo que se hizo en el pasado y </w:t>
      </w:r>
      <w:r w:rsidR="000E47DA" w:rsidRPr="00A74402">
        <w:rPr>
          <w:rFonts w:ascii="Times New Roman" w:hAnsi="Times New Roman" w:cs="Times New Roman"/>
          <w:sz w:val="24"/>
          <w:szCs w:val="24"/>
        </w:rPr>
        <w:t xml:space="preserve">que </w:t>
      </w:r>
      <w:r w:rsidR="00B60E7C" w:rsidRPr="00A74402">
        <w:rPr>
          <w:rFonts w:ascii="Times New Roman" w:hAnsi="Times New Roman" w:cs="Times New Roman"/>
          <w:sz w:val="24"/>
          <w:szCs w:val="24"/>
        </w:rPr>
        <w:t xml:space="preserve">supone que serán los mercados </w:t>
      </w:r>
      <w:r w:rsidR="009351C5" w:rsidRPr="00A74402">
        <w:rPr>
          <w:rFonts w:ascii="Times New Roman" w:hAnsi="Times New Roman" w:cs="Times New Roman"/>
          <w:sz w:val="24"/>
          <w:szCs w:val="24"/>
        </w:rPr>
        <w:t xml:space="preserve">por si solos </w:t>
      </w:r>
      <w:r w:rsidR="00B60E7C" w:rsidRPr="00A74402">
        <w:rPr>
          <w:rFonts w:ascii="Times New Roman" w:hAnsi="Times New Roman" w:cs="Times New Roman"/>
          <w:sz w:val="24"/>
          <w:szCs w:val="24"/>
        </w:rPr>
        <w:t xml:space="preserve">los que incentivarán la innovación y superarán los problemas de sustentabilidad ambiental </w:t>
      </w:r>
      <w:r w:rsidR="00D03EBB" w:rsidRPr="00A74402">
        <w:rPr>
          <w:rFonts w:ascii="Times New Roman" w:hAnsi="Times New Roman" w:cs="Times New Roman"/>
          <w:sz w:val="24"/>
          <w:szCs w:val="24"/>
        </w:rPr>
        <w:t>e inclusión</w:t>
      </w:r>
      <w:r w:rsidR="00B60E7C" w:rsidRPr="00A74402">
        <w:rPr>
          <w:rFonts w:ascii="Times New Roman" w:hAnsi="Times New Roman" w:cs="Times New Roman"/>
          <w:sz w:val="24"/>
          <w:szCs w:val="24"/>
        </w:rPr>
        <w:t xml:space="preserve"> económico-social</w:t>
      </w:r>
      <w:r w:rsidR="00E97C8C" w:rsidRPr="00A74402">
        <w:rPr>
          <w:rFonts w:ascii="Times New Roman" w:hAnsi="Times New Roman" w:cs="Times New Roman"/>
          <w:sz w:val="24"/>
          <w:szCs w:val="24"/>
        </w:rPr>
        <w:t xml:space="preserve">. </w:t>
      </w:r>
    </w:p>
    <w:p w14:paraId="1E1A744F" w14:textId="77777777" w:rsidR="00BC29F1" w:rsidRPr="00A74402" w:rsidRDefault="00BC29F1" w:rsidP="00834AAB">
      <w:pPr>
        <w:autoSpaceDE w:val="0"/>
        <w:autoSpaceDN w:val="0"/>
        <w:adjustRightInd w:val="0"/>
        <w:contextualSpacing/>
        <w:rPr>
          <w:rFonts w:ascii="Times New Roman" w:hAnsi="Times New Roman" w:cs="Times New Roman"/>
          <w:sz w:val="24"/>
          <w:szCs w:val="24"/>
        </w:rPr>
      </w:pPr>
    </w:p>
    <w:p w14:paraId="63F44BF1" w14:textId="77777777" w:rsidR="00C11B1C" w:rsidRPr="00A74402" w:rsidRDefault="00C11B1C" w:rsidP="00BE2E2D">
      <w:pPr>
        <w:rPr>
          <w:rFonts w:ascii="Times New Roman" w:hAnsi="Times New Roman" w:cs="Times New Roman"/>
          <w:b/>
          <w:sz w:val="24"/>
          <w:szCs w:val="24"/>
        </w:rPr>
      </w:pPr>
      <w:r w:rsidRPr="00A74402">
        <w:rPr>
          <w:rFonts w:ascii="Times New Roman" w:hAnsi="Times New Roman" w:cs="Times New Roman"/>
          <w:b/>
          <w:sz w:val="24"/>
          <w:szCs w:val="24"/>
        </w:rPr>
        <w:t>REFERENCIAS</w:t>
      </w:r>
    </w:p>
    <w:p w14:paraId="47FCDA07" w14:textId="7D887F81" w:rsidR="00DD7B00" w:rsidRPr="00A74402" w:rsidRDefault="00364273" w:rsidP="004D1F4E">
      <w:pPr>
        <w:spacing w:after="100" w:afterAutospacing="1" w:line="240" w:lineRule="auto"/>
        <w:contextualSpacing/>
        <w:rPr>
          <w:rFonts w:ascii="Times New Roman" w:hAnsi="Times New Roman" w:cs="Times New Roman"/>
          <w:sz w:val="24"/>
          <w:szCs w:val="24"/>
        </w:rPr>
      </w:pPr>
      <w:r w:rsidRPr="00A74402">
        <w:rPr>
          <w:rFonts w:ascii="Times New Roman" w:hAnsi="Times New Roman" w:cs="Times New Roman"/>
          <w:sz w:val="24"/>
          <w:szCs w:val="24"/>
        </w:rPr>
        <w:t>Agencia Promoción de la Inversión Extranjera (2017)</w:t>
      </w:r>
      <w:r w:rsidR="00CB27E1" w:rsidRPr="00A74402">
        <w:rPr>
          <w:rFonts w:ascii="Times New Roman" w:hAnsi="Times New Roman" w:cs="Times New Roman"/>
          <w:sz w:val="24"/>
          <w:szCs w:val="24"/>
        </w:rPr>
        <w:t>,</w:t>
      </w:r>
      <w:r w:rsidRPr="00A74402">
        <w:rPr>
          <w:rFonts w:ascii="Times New Roman" w:hAnsi="Times New Roman" w:cs="Times New Roman"/>
          <w:sz w:val="24"/>
          <w:szCs w:val="24"/>
        </w:rPr>
        <w:t xml:space="preserve"> “Chile: Oportunidades y Desafíos para</w:t>
      </w:r>
      <w:r w:rsidR="00D938C5" w:rsidRPr="00A74402">
        <w:rPr>
          <w:rFonts w:ascii="Times New Roman" w:hAnsi="Times New Roman" w:cs="Times New Roman"/>
          <w:sz w:val="24"/>
          <w:szCs w:val="24"/>
        </w:rPr>
        <w:tab/>
      </w:r>
      <w:r w:rsidRPr="00A74402">
        <w:rPr>
          <w:rFonts w:ascii="Times New Roman" w:hAnsi="Times New Roman" w:cs="Times New Roman"/>
          <w:sz w:val="24"/>
          <w:szCs w:val="24"/>
        </w:rPr>
        <w:t xml:space="preserve">Diversificar la Inversión Extranjera”, Director. </w:t>
      </w:r>
    </w:p>
    <w:p w14:paraId="4FD159B9" w14:textId="56CE7334" w:rsidR="00364273" w:rsidRPr="00A74402" w:rsidRDefault="00052B38" w:rsidP="00D154B7">
      <w:pPr>
        <w:spacing w:after="100" w:afterAutospacing="1" w:line="240" w:lineRule="auto"/>
        <w:ind w:firstLine="708"/>
        <w:contextualSpacing/>
        <w:rPr>
          <w:rFonts w:ascii="Times New Roman" w:hAnsi="Times New Roman" w:cs="Times New Roman"/>
          <w:sz w:val="24"/>
          <w:szCs w:val="24"/>
        </w:rPr>
      </w:pPr>
      <w:hyperlink r:id="rId8" w:history="1">
        <w:r w:rsidR="004D1F4E" w:rsidRPr="00A74402">
          <w:rPr>
            <w:rStyle w:val="Hipervnculo"/>
            <w:rFonts w:ascii="Times New Roman" w:hAnsi="Times New Roman" w:cs="Times New Roman"/>
            <w:sz w:val="24"/>
            <w:szCs w:val="24"/>
          </w:rPr>
          <w:t>https://investchile.gob.cl/wpcontent/uploads/2017/06/investchile</w:t>
        </w:r>
      </w:hyperlink>
      <w:r w:rsidR="00D938C5" w:rsidRPr="00A74402">
        <w:rPr>
          <w:rFonts w:ascii="Times New Roman" w:hAnsi="Times New Roman" w:cs="Times New Roman"/>
          <w:sz w:val="24"/>
          <w:szCs w:val="24"/>
        </w:rPr>
        <w:tab/>
      </w:r>
      <w:r w:rsidR="00364273" w:rsidRPr="00A74402">
        <w:rPr>
          <w:rFonts w:ascii="Times New Roman" w:hAnsi="Times New Roman" w:cs="Times New Roman"/>
          <w:sz w:val="24"/>
          <w:szCs w:val="24"/>
        </w:rPr>
        <w:t>britcham-2.pdf</w:t>
      </w:r>
    </w:p>
    <w:p w14:paraId="58CACD81" w14:textId="2B24C510" w:rsidR="00DD7B00" w:rsidRPr="00A74402" w:rsidRDefault="00DD7B00" w:rsidP="00DD7B00">
      <w:pPr>
        <w:spacing w:after="100" w:afterAutospacing="1" w:line="240" w:lineRule="auto"/>
        <w:contextualSpacing/>
        <w:rPr>
          <w:rFonts w:ascii="Times New Roman" w:hAnsi="Times New Roman" w:cs="Times New Roman"/>
          <w:i/>
          <w:sz w:val="24"/>
          <w:szCs w:val="24"/>
          <w:lang w:val="en-US"/>
        </w:rPr>
      </w:pPr>
      <w:r w:rsidRPr="00A74402">
        <w:rPr>
          <w:rFonts w:ascii="Times New Roman" w:hAnsi="Times New Roman" w:cs="Times New Roman"/>
          <w:sz w:val="24"/>
          <w:szCs w:val="24"/>
          <w:lang w:val="en-US"/>
        </w:rPr>
        <w:t>Akamai (2017)</w:t>
      </w:r>
      <w:r w:rsidR="00BC29F1" w:rsidRPr="00A74402">
        <w:rPr>
          <w:rFonts w:ascii="Times New Roman" w:hAnsi="Times New Roman" w:cs="Times New Roman"/>
          <w:sz w:val="24"/>
          <w:szCs w:val="24"/>
          <w:lang w:val="en-US"/>
        </w:rPr>
        <w:t>,</w:t>
      </w:r>
      <w:r w:rsidR="00BC29F1" w:rsidRPr="00A74402">
        <w:rPr>
          <w:rFonts w:ascii="Times New Roman" w:hAnsi="Times New Roman" w:cs="Times New Roman"/>
          <w:lang w:val="en-US"/>
        </w:rPr>
        <w:t xml:space="preserve"> </w:t>
      </w:r>
      <w:r w:rsidR="00BC29F1" w:rsidRPr="00A74402">
        <w:rPr>
          <w:rStyle w:val="nfasis"/>
          <w:rFonts w:ascii="Times New Roman" w:hAnsi="Times New Roman" w:cs="Times New Roman"/>
          <w:lang w:val="en-US"/>
        </w:rPr>
        <w:t>State of the Internet Report</w:t>
      </w:r>
      <w:r w:rsidR="00541607" w:rsidRPr="00A74402">
        <w:rPr>
          <w:rStyle w:val="nfasis"/>
          <w:rFonts w:ascii="Times New Roman" w:hAnsi="Times New Roman" w:cs="Times New Roman"/>
          <w:lang w:val="en-US"/>
        </w:rPr>
        <w:t xml:space="preserve">, </w:t>
      </w:r>
      <w:r w:rsidR="00541607" w:rsidRPr="00A74402">
        <w:rPr>
          <w:rStyle w:val="nfasis"/>
          <w:rFonts w:ascii="Times New Roman" w:hAnsi="Times New Roman" w:cs="Times New Roman"/>
          <w:i w:val="0"/>
          <w:lang w:val="en-US"/>
        </w:rPr>
        <w:t>Cambridge, M.A.</w:t>
      </w:r>
    </w:p>
    <w:p w14:paraId="6028C45C" w14:textId="7B933C64" w:rsidR="001904D4" w:rsidRPr="00A74402" w:rsidRDefault="001904D4" w:rsidP="000679FC">
      <w:pPr>
        <w:tabs>
          <w:tab w:val="left" w:leader="underscore" w:pos="720"/>
        </w:tabs>
        <w:suppressAutoHyphens/>
        <w:spacing w:line="240" w:lineRule="auto"/>
        <w:ind w:left="720" w:hanging="720"/>
        <w:rPr>
          <w:rFonts w:ascii="Times New Roman" w:hAnsi="Times New Roman" w:cs="Times New Roman"/>
          <w:sz w:val="24"/>
          <w:szCs w:val="24"/>
        </w:rPr>
      </w:pPr>
      <w:r w:rsidRPr="00A74402">
        <w:rPr>
          <w:rFonts w:ascii="Times New Roman" w:hAnsi="Times New Roman" w:cs="Times New Roman"/>
          <w:sz w:val="24"/>
          <w:szCs w:val="24"/>
        </w:rPr>
        <w:t>Banco Central, varios informes de Cuentas Nacionales y Balanza de Pagos.</w:t>
      </w:r>
    </w:p>
    <w:p w14:paraId="5A80B280" w14:textId="7112D720" w:rsidR="00556883" w:rsidRPr="00A74402" w:rsidRDefault="00556883" w:rsidP="000679FC">
      <w:pPr>
        <w:tabs>
          <w:tab w:val="left" w:leader="underscore" w:pos="720"/>
        </w:tabs>
        <w:suppressAutoHyphens/>
        <w:spacing w:line="240" w:lineRule="auto"/>
        <w:ind w:left="720" w:hanging="720"/>
        <w:rPr>
          <w:rFonts w:ascii="Times New Roman" w:hAnsi="Times New Roman" w:cs="Times New Roman"/>
          <w:sz w:val="24"/>
          <w:szCs w:val="24"/>
          <w:lang w:val="en-US"/>
        </w:rPr>
      </w:pPr>
      <w:r w:rsidRPr="00A74402">
        <w:rPr>
          <w:rFonts w:ascii="Times New Roman" w:hAnsi="Times New Roman" w:cs="Times New Roman"/>
          <w:sz w:val="24"/>
          <w:szCs w:val="24"/>
          <w:lang w:val="en-US"/>
        </w:rPr>
        <w:t xml:space="preserve">Banco Mundial, </w:t>
      </w:r>
      <w:r w:rsidRPr="00A74402">
        <w:rPr>
          <w:rFonts w:ascii="Times New Roman" w:hAnsi="Times New Roman" w:cs="Times New Roman"/>
          <w:i/>
          <w:sz w:val="24"/>
          <w:szCs w:val="24"/>
          <w:lang w:val="en-US"/>
        </w:rPr>
        <w:t>World Economic Indicators</w:t>
      </w:r>
      <w:r w:rsidR="00770EAE" w:rsidRPr="00A74402">
        <w:rPr>
          <w:rFonts w:ascii="Times New Roman" w:hAnsi="Times New Roman" w:cs="Times New Roman"/>
          <w:sz w:val="24"/>
          <w:szCs w:val="24"/>
          <w:lang w:val="en-US"/>
        </w:rPr>
        <w:t>.</w:t>
      </w:r>
    </w:p>
    <w:p w14:paraId="36C38768" w14:textId="1B498A4B" w:rsidR="00C55AF7" w:rsidRPr="00A74402" w:rsidRDefault="00046279" w:rsidP="00C55AF7">
      <w:pPr>
        <w:tabs>
          <w:tab w:val="left" w:leader="underscore" w:pos="720"/>
        </w:tabs>
        <w:suppressAutoHyphens/>
        <w:spacing w:line="240" w:lineRule="auto"/>
        <w:ind w:left="720" w:hanging="720"/>
        <w:rPr>
          <w:rFonts w:ascii="Times New Roman" w:hAnsi="Times New Roman" w:cs="Times New Roman"/>
          <w:spacing w:val="-3"/>
          <w:sz w:val="24"/>
          <w:szCs w:val="24"/>
          <w:lang w:val="es-ES"/>
        </w:rPr>
      </w:pPr>
      <w:r w:rsidRPr="00A74402">
        <w:rPr>
          <w:rFonts w:ascii="Times New Roman" w:hAnsi="Times New Roman" w:cs="Times New Roman"/>
          <w:sz w:val="24"/>
          <w:szCs w:val="24"/>
        </w:rPr>
        <w:t xml:space="preserve">Beltrán, F. (2017), </w:t>
      </w:r>
      <w:r w:rsidR="00412896" w:rsidRPr="00A74402">
        <w:rPr>
          <w:rFonts w:ascii="Times New Roman" w:hAnsi="Times New Roman" w:cs="Times New Roman"/>
          <w:spacing w:val="-3"/>
          <w:sz w:val="24"/>
          <w:szCs w:val="24"/>
          <w:lang w:val="es-ES"/>
        </w:rPr>
        <w:t>“Productividad total de factores: una estimación estructural y sus determinantes en Chile: 1960-2015”, Tesis de Magister en Economía, U</w:t>
      </w:r>
      <w:r w:rsidR="00E239CD">
        <w:rPr>
          <w:rFonts w:ascii="Times New Roman" w:hAnsi="Times New Roman" w:cs="Times New Roman"/>
          <w:spacing w:val="-3"/>
          <w:sz w:val="24"/>
          <w:szCs w:val="24"/>
          <w:lang w:val="es-ES"/>
        </w:rPr>
        <w:t xml:space="preserve">. </w:t>
      </w:r>
      <w:r w:rsidR="00412896" w:rsidRPr="00A74402">
        <w:rPr>
          <w:rFonts w:ascii="Times New Roman" w:hAnsi="Times New Roman" w:cs="Times New Roman"/>
          <w:spacing w:val="-3"/>
          <w:sz w:val="24"/>
          <w:szCs w:val="24"/>
          <w:lang w:val="es-ES"/>
        </w:rPr>
        <w:t>de Chile.</w:t>
      </w:r>
    </w:p>
    <w:p w14:paraId="38EF7C8E" w14:textId="062E6BDD" w:rsidR="008E2972" w:rsidRPr="00A74402" w:rsidRDefault="008E2972" w:rsidP="00C55AF7">
      <w:pPr>
        <w:tabs>
          <w:tab w:val="left" w:leader="underscore" w:pos="720"/>
        </w:tabs>
        <w:suppressAutoHyphens/>
        <w:spacing w:line="240" w:lineRule="auto"/>
        <w:ind w:left="720" w:hanging="720"/>
        <w:rPr>
          <w:rFonts w:ascii="Times New Roman" w:hAnsi="Times New Roman" w:cs="Times New Roman"/>
          <w:sz w:val="24"/>
          <w:szCs w:val="24"/>
          <w:lang w:val="en-US"/>
        </w:rPr>
      </w:pPr>
      <w:r w:rsidRPr="00A74402">
        <w:rPr>
          <w:rFonts w:ascii="Times New Roman" w:hAnsi="Times New Roman" w:cs="Times New Roman"/>
          <w:sz w:val="24"/>
          <w:szCs w:val="24"/>
          <w:lang w:val="en-US"/>
        </w:rPr>
        <w:t xml:space="preserve">Calvo, G., Izquierdo, A. </w:t>
      </w:r>
      <w:r w:rsidR="00804583" w:rsidRPr="00A74402">
        <w:rPr>
          <w:rFonts w:ascii="Times New Roman" w:hAnsi="Times New Roman" w:cs="Times New Roman"/>
          <w:sz w:val="24"/>
          <w:szCs w:val="24"/>
          <w:lang w:val="en-US"/>
        </w:rPr>
        <w:t>y</w:t>
      </w:r>
      <w:r w:rsidRPr="00A74402">
        <w:rPr>
          <w:rFonts w:ascii="Times New Roman" w:hAnsi="Times New Roman" w:cs="Times New Roman"/>
          <w:sz w:val="24"/>
          <w:szCs w:val="24"/>
          <w:lang w:val="en-US"/>
        </w:rPr>
        <w:t xml:space="preserve"> Talvi, E. (2006), “Phoeni</w:t>
      </w:r>
      <w:r w:rsidR="0096218A" w:rsidRPr="00A74402">
        <w:rPr>
          <w:rFonts w:ascii="Times New Roman" w:hAnsi="Times New Roman" w:cs="Times New Roman"/>
          <w:sz w:val="24"/>
          <w:szCs w:val="24"/>
          <w:lang w:val="en-US"/>
        </w:rPr>
        <w:t>x Miracles in Emerging Markets:</w:t>
      </w:r>
      <w:r w:rsidR="0096218A" w:rsidRPr="00A74402">
        <w:rPr>
          <w:rFonts w:ascii="Times New Roman" w:hAnsi="Times New Roman" w:cs="Times New Roman"/>
          <w:sz w:val="24"/>
          <w:szCs w:val="24"/>
          <w:lang w:val="en-US"/>
        </w:rPr>
        <w:tab/>
      </w:r>
      <w:r w:rsidRPr="00A74402">
        <w:rPr>
          <w:rFonts w:ascii="Times New Roman" w:hAnsi="Times New Roman" w:cs="Times New Roman"/>
          <w:sz w:val="24"/>
          <w:szCs w:val="24"/>
          <w:lang w:val="en-US"/>
        </w:rPr>
        <w:t>Recovering without Credit from Systemic Financ</w:t>
      </w:r>
      <w:r w:rsidR="0096218A" w:rsidRPr="00A74402">
        <w:rPr>
          <w:rFonts w:ascii="Times New Roman" w:hAnsi="Times New Roman" w:cs="Times New Roman"/>
          <w:sz w:val="24"/>
          <w:szCs w:val="24"/>
          <w:lang w:val="en-US"/>
        </w:rPr>
        <w:t>ial Crises”, NBER Working Paper</w:t>
      </w:r>
      <w:r w:rsidR="0096218A" w:rsidRPr="00A74402">
        <w:rPr>
          <w:rFonts w:ascii="Times New Roman" w:hAnsi="Times New Roman" w:cs="Times New Roman"/>
          <w:sz w:val="24"/>
          <w:szCs w:val="24"/>
          <w:lang w:val="en-US"/>
        </w:rPr>
        <w:tab/>
      </w:r>
      <w:r w:rsidRPr="00A74402">
        <w:rPr>
          <w:rFonts w:ascii="Times New Roman" w:hAnsi="Times New Roman" w:cs="Times New Roman"/>
          <w:sz w:val="24"/>
          <w:szCs w:val="24"/>
          <w:lang w:val="en-US"/>
        </w:rPr>
        <w:t xml:space="preserve">No. 12101, </w:t>
      </w:r>
      <w:r w:rsidR="002D5EE7" w:rsidRPr="00A74402">
        <w:rPr>
          <w:rFonts w:ascii="Times New Roman" w:hAnsi="Times New Roman" w:cs="Times New Roman"/>
          <w:sz w:val="24"/>
          <w:szCs w:val="24"/>
          <w:lang w:val="en-US"/>
        </w:rPr>
        <w:t>marzo</w:t>
      </w:r>
      <w:r w:rsidR="0096218A" w:rsidRPr="00A74402">
        <w:rPr>
          <w:rFonts w:ascii="Times New Roman" w:hAnsi="Times New Roman" w:cs="Times New Roman"/>
          <w:sz w:val="24"/>
          <w:szCs w:val="24"/>
          <w:lang w:val="en-US"/>
        </w:rPr>
        <w:t>.</w:t>
      </w:r>
    </w:p>
    <w:p w14:paraId="568A2F39" w14:textId="780FBC57" w:rsidR="008E2972" w:rsidRPr="00A74402" w:rsidRDefault="008E2972" w:rsidP="000679FC">
      <w:pPr>
        <w:spacing w:after="100" w:afterAutospacing="1" w:line="240" w:lineRule="auto"/>
        <w:ind w:left="720" w:hanging="720"/>
        <w:contextualSpacing/>
        <w:rPr>
          <w:rFonts w:ascii="Times New Roman" w:hAnsi="Times New Roman" w:cs="Times New Roman"/>
          <w:sz w:val="24"/>
          <w:szCs w:val="24"/>
        </w:rPr>
      </w:pPr>
      <w:r w:rsidRPr="00A74402">
        <w:rPr>
          <w:rFonts w:ascii="Times New Roman" w:hAnsi="Times New Roman" w:cs="Times New Roman"/>
          <w:sz w:val="24"/>
          <w:szCs w:val="24"/>
        </w:rPr>
        <w:t xml:space="preserve">CEPAL (2010), </w:t>
      </w:r>
      <w:r w:rsidRPr="00A74402">
        <w:rPr>
          <w:rFonts w:ascii="Times New Roman" w:hAnsi="Times New Roman" w:cs="Times New Roman"/>
          <w:i/>
          <w:sz w:val="24"/>
          <w:szCs w:val="24"/>
        </w:rPr>
        <w:t>La hora de la igualdad: brechas por cerrar, caminos por abrir,</w:t>
      </w:r>
      <w:r w:rsidRPr="00A74402">
        <w:rPr>
          <w:rFonts w:ascii="Times New Roman" w:hAnsi="Times New Roman" w:cs="Times New Roman"/>
          <w:sz w:val="24"/>
          <w:szCs w:val="24"/>
        </w:rPr>
        <w:t xml:space="preserve">  </w:t>
      </w:r>
      <w:r w:rsidR="00804583" w:rsidRPr="00A74402">
        <w:rPr>
          <w:rFonts w:ascii="Times New Roman" w:hAnsi="Times New Roman" w:cs="Times New Roman"/>
          <w:sz w:val="24"/>
          <w:szCs w:val="24"/>
        </w:rPr>
        <w:t xml:space="preserve">Naciones Unidas, </w:t>
      </w:r>
      <w:r w:rsidRPr="00A74402">
        <w:rPr>
          <w:rFonts w:ascii="Times New Roman" w:hAnsi="Times New Roman" w:cs="Times New Roman"/>
          <w:sz w:val="24"/>
          <w:szCs w:val="24"/>
        </w:rPr>
        <w:t xml:space="preserve">Santiago. </w:t>
      </w:r>
    </w:p>
    <w:p w14:paraId="54DABDBE" w14:textId="3C2B38E1" w:rsidR="00FB4DE7" w:rsidRPr="00A74402" w:rsidRDefault="00813FD3" w:rsidP="00FB4DE7">
      <w:pPr>
        <w:widowControl w:val="0"/>
        <w:spacing w:line="240" w:lineRule="auto"/>
        <w:ind w:left="709" w:hanging="709"/>
        <w:contextualSpacing/>
        <w:rPr>
          <w:rFonts w:ascii="Times New Roman" w:eastAsia="Times New Roman" w:hAnsi="Times New Roman" w:cs="Times New Roman"/>
          <w:color w:val="000000"/>
          <w:sz w:val="24"/>
          <w:szCs w:val="24"/>
        </w:rPr>
      </w:pPr>
      <w:r w:rsidRPr="00A74402">
        <w:rPr>
          <w:rFonts w:ascii="Times New Roman" w:eastAsia="Times New Roman" w:hAnsi="Times New Roman" w:cs="Times New Roman"/>
          <w:color w:val="000000"/>
          <w:sz w:val="24"/>
          <w:szCs w:val="24"/>
        </w:rPr>
        <w:t xml:space="preserve">CNID </w:t>
      </w:r>
      <w:r w:rsidR="00FB4DE7" w:rsidRPr="00A74402">
        <w:rPr>
          <w:rFonts w:ascii="Times New Roman" w:eastAsia="Times New Roman" w:hAnsi="Times New Roman" w:cs="Times New Roman"/>
          <w:color w:val="000000"/>
          <w:sz w:val="24"/>
          <w:szCs w:val="24"/>
        </w:rPr>
        <w:t>(2018), “Propuesta estratégica del Consejo Nacional de Innovación para el Desarrollo: banda ancha de Visviri a Cabo de Hornos”, enero [en línea]</w:t>
      </w:r>
      <w:r w:rsidR="00FB4DE7" w:rsidRPr="00A74402">
        <w:rPr>
          <w:rFonts w:ascii="Times New Roman" w:hAnsi="Times New Roman" w:cs="Times New Roman"/>
        </w:rPr>
        <w:t xml:space="preserve"> </w:t>
      </w:r>
      <w:r w:rsidR="00FB4DE7" w:rsidRPr="00A74402">
        <w:rPr>
          <w:rFonts w:ascii="Times New Roman" w:eastAsia="Times New Roman" w:hAnsi="Times New Roman" w:cs="Times New Roman"/>
          <w:color w:val="000000"/>
          <w:sz w:val="24"/>
          <w:szCs w:val="24"/>
        </w:rPr>
        <w:t xml:space="preserve">http://www.cnid.cl/wp-content/uploads/2018/02/BandaAncha-CNID.pdf. </w:t>
      </w:r>
    </w:p>
    <w:p w14:paraId="33023822" w14:textId="323B0413" w:rsidR="00CB27E1" w:rsidRPr="00A74402" w:rsidRDefault="00FB4DE7" w:rsidP="00813FD3">
      <w:pPr>
        <w:widowControl w:val="0"/>
        <w:spacing w:after="100" w:afterAutospacing="1" w:line="240" w:lineRule="auto"/>
        <w:ind w:right="-432"/>
        <w:contextualSpacing/>
        <w:rPr>
          <w:rFonts w:ascii="Times New Roman" w:eastAsia="Times New Roman" w:hAnsi="Times New Roman" w:cs="Times New Roman"/>
          <w:color w:val="000000"/>
          <w:sz w:val="24"/>
          <w:szCs w:val="24"/>
        </w:rPr>
      </w:pPr>
      <w:r w:rsidRPr="00A74402">
        <w:rPr>
          <w:rFonts w:ascii="Times New Roman" w:eastAsia="Times New Roman" w:hAnsi="Times New Roman" w:cs="Times New Roman"/>
          <w:color w:val="000000"/>
          <w:sz w:val="24"/>
          <w:szCs w:val="24"/>
        </w:rPr>
        <w:t xml:space="preserve">____   </w:t>
      </w:r>
      <w:r w:rsidR="00BF714B" w:rsidRPr="00A74402">
        <w:rPr>
          <w:rFonts w:ascii="Times New Roman" w:eastAsia="Times New Roman" w:hAnsi="Times New Roman" w:cs="Times New Roman"/>
          <w:color w:val="000000"/>
          <w:sz w:val="24"/>
          <w:szCs w:val="24"/>
        </w:rPr>
        <w:t xml:space="preserve"> (</w:t>
      </w:r>
      <w:r w:rsidR="00813FD3" w:rsidRPr="00A74402">
        <w:rPr>
          <w:rFonts w:ascii="Times New Roman" w:eastAsia="Times New Roman" w:hAnsi="Times New Roman" w:cs="Times New Roman"/>
          <w:color w:val="000000"/>
          <w:sz w:val="24"/>
          <w:szCs w:val="24"/>
        </w:rPr>
        <w:t>2017)</w:t>
      </w:r>
      <w:r w:rsidR="00CB27E1" w:rsidRPr="00A74402">
        <w:rPr>
          <w:rFonts w:ascii="Times New Roman" w:eastAsia="Times New Roman" w:hAnsi="Times New Roman" w:cs="Times New Roman"/>
          <w:color w:val="000000"/>
          <w:sz w:val="24"/>
          <w:szCs w:val="24"/>
        </w:rPr>
        <w:t>,</w:t>
      </w:r>
      <w:r w:rsidR="00813FD3" w:rsidRPr="00A74402">
        <w:rPr>
          <w:rFonts w:ascii="Times New Roman" w:eastAsia="Times New Roman" w:hAnsi="Times New Roman" w:cs="Times New Roman"/>
          <w:color w:val="000000"/>
          <w:sz w:val="24"/>
          <w:szCs w:val="24"/>
        </w:rPr>
        <w:t xml:space="preserve"> “Ciencias, tecnologías e innovación para un nuevo pacto de desarrollo sostenible </w:t>
      </w:r>
    </w:p>
    <w:p w14:paraId="1064C4F4" w14:textId="38D55042" w:rsidR="00CB27E1" w:rsidRPr="00A74402" w:rsidRDefault="00813FD3" w:rsidP="0035054D">
      <w:pPr>
        <w:widowControl w:val="0"/>
        <w:spacing w:after="100" w:afterAutospacing="1" w:line="240" w:lineRule="auto"/>
        <w:ind w:right="-432" w:firstLine="708"/>
        <w:contextualSpacing/>
        <w:rPr>
          <w:rFonts w:ascii="Times New Roman" w:eastAsia="Times New Roman" w:hAnsi="Times New Roman" w:cs="Times New Roman"/>
          <w:color w:val="000000"/>
          <w:sz w:val="24"/>
          <w:szCs w:val="24"/>
        </w:rPr>
      </w:pPr>
      <w:r w:rsidRPr="00A74402">
        <w:rPr>
          <w:rFonts w:ascii="Times New Roman" w:eastAsia="Times New Roman" w:hAnsi="Times New Roman" w:cs="Times New Roman"/>
          <w:color w:val="000000"/>
          <w:sz w:val="24"/>
          <w:szCs w:val="24"/>
        </w:rPr>
        <w:t xml:space="preserve">e inclusivo”, Consejo Nacional de Innovación para el Desarrollo, Diciembre 2017, </w:t>
      </w:r>
      <w:r w:rsidR="00931A70">
        <w:rPr>
          <w:rFonts w:ascii="Times New Roman" w:eastAsia="Times New Roman" w:hAnsi="Times New Roman" w:cs="Times New Roman"/>
          <w:color w:val="000000"/>
          <w:sz w:val="24"/>
          <w:szCs w:val="24"/>
        </w:rPr>
        <w:t>Stgo.</w:t>
      </w:r>
    </w:p>
    <w:p w14:paraId="2104B9AD" w14:textId="4E8BA843" w:rsidR="00412896" w:rsidRPr="00A74402" w:rsidRDefault="0087280D" w:rsidP="000679FC">
      <w:pPr>
        <w:widowControl w:val="0"/>
        <w:spacing w:after="100" w:afterAutospacing="1" w:line="240" w:lineRule="auto"/>
        <w:ind w:right="-432"/>
        <w:contextualSpacing/>
        <w:rPr>
          <w:rFonts w:ascii="Times New Roman" w:eastAsia="Times New Roman" w:hAnsi="Times New Roman" w:cs="Times New Roman"/>
          <w:color w:val="000000"/>
          <w:sz w:val="24"/>
          <w:szCs w:val="24"/>
        </w:rPr>
      </w:pPr>
      <w:r w:rsidRPr="00A74402">
        <w:rPr>
          <w:rFonts w:ascii="Times New Roman" w:eastAsia="Times New Roman" w:hAnsi="Times New Roman" w:cs="Times New Roman"/>
          <w:color w:val="000000"/>
          <w:sz w:val="24"/>
          <w:szCs w:val="24"/>
        </w:rPr>
        <w:t>Cofré, M. T. y T. Cornejo (2004), “Medición de la inversión extr</w:t>
      </w:r>
      <w:r w:rsidR="0096218A" w:rsidRPr="00A74402">
        <w:rPr>
          <w:rFonts w:ascii="Times New Roman" w:eastAsia="Times New Roman" w:hAnsi="Times New Roman" w:cs="Times New Roman"/>
          <w:color w:val="000000"/>
          <w:sz w:val="24"/>
          <w:szCs w:val="24"/>
        </w:rPr>
        <w:t>anjera directa en la balanza de</w:t>
      </w:r>
      <w:r w:rsidR="0096218A" w:rsidRPr="00A74402">
        <w:rPr>
          <w:rFonts w:ascii="Times New Roman" w:eastAsia="Times New Roman" w:hAnsi="Times New Roman" w:cs="Times New Roman"/>
          <w:color w:val="000000"/>
          <w:sz w:val="24"/>
          <w:szCs w:val="24"/>
        </w:rPr>
        <w:tab/>
      </w:r>
      <w:r w:rsidRPr="00A74402">
        <w:rPr>
          <w:rFonts w:ascii="Times New Roman" w:eastAsia="Times New Roman" w:hAnsi="Times New Roman" w:cs="Times New Roman"/>
          <w:color w:val="000000"/>
          <w:sz w:val="24"/>
          <w:szCs w:val="24"/>
        </w:rPr>
        <w:t>pagos”,</w:t>
      </w:r>
      <w:r w:rsidR="0096218A" w:rsidRPr="00A74402">
        <w:rPr>
          <w:rFonts w:ascii="Times New Roman" w:eastAsia="Times New Roman" w:hAnsi="Times New Roman" w:cs="Times New Roman"/>
          <w:color w:val="000000"/>
          <w:sz w:val="24"/>
          <w:szCs w:val="24"/>
        </w:rPr>
        <w:t xml:space="preserve"> </w:t>
      </w:r>
      <w:r w:rsidRPr="00A74402">
        <w:rPr>
          <w:rFonts w:ascii="Times New Roman" w:eastAsia="Times New Roman" w:hAnsi="Times New Roman" w:cs="Times New Roman"/>
          <w:i/>
          <w:color w:val="000000"/>
          <w:sz w:val="24"/>
          <w:szCs w:val="24"/>
        </w:rPr>
        <w:t>Economía Chilena</w:t>
      </w:r>
      <w:r w:rsidRPr="00A74402">
        <w:rPr>
          <w:rFonts w:ascii="Times New Roman" w:eastAsia="Times New Roman" w:hAnsi="Times New Roman" w:cs="Times New Roman"/>
          <w:color w:val="000000"/>
          <w:sz w:val="24"/>
          <w:szCs w:val="24"/>
        </w:rPr>
        <w:t>, vol. 7, No 3, diciembre, Banco Central.</w:t>
      </w:r>
    </w:p>
    <w:p w14:paraId="5AF1AD0B" w14:textId="4D53E0A3" w:rsidR="00412896" w:rsidRPr="00A74402" w:rsidRDefault="00046279" w:rsidP="000679FC">
      <w:pPr>
        <w:widowControl w:val="0"/>
        <w:spacing w:after="100" w:afterAutospacing="1" w:line="240" w:lineRule="auto"/>
        <w:ind w:right="-432"/>
        <w:contextualSpacing/>
        <w:rPr>
          <w:rFonts w:ascii="Times New Roman" w:hAnsi="Times New Roman" w:cs="Times New Roman"/>
          <w:sz w:val="24"/>
          <w:szCs w:val="24"/>
        </w:rPr>
      </w:pPr>
      <w:r w:rsidRPr="00A74402">
        <w:rPr>
          <w:rFonts w:ascii="Times New Roman" w:hAnsi="Times New Roman" w:cs="Times New Roman"/>
          <w:sz w:val="24"/>
          <w:szCs w:val="24"/>
        </w:rPr>
        <w:t>CNP (2017</w:t>
      </w:r>
      <w:r w:rsidR="00412896" w:rsidRPr="00A74402">
        <w:rPr>
          <w:rFonts w:ascii="Times New Roman" w:hAnsi="Times New Roman" w:cs="Times New Roman"/>
          <w:sz w:val="24"/>
          <w:szCs w:val="24"/>
        </w:rPr>
        <w:t>a</w:t>
      </w:r>
      <w:r w:rsidRPr="00A74402">
        <w:rPr>
          <w:rFonts w:ascii="Times New Roman" w:hAnsi="Times New Roman" w:cs="Times New Roman"/>
          <w:sz w:val="24"/>
          <w:szCs w:val="24"/>
        </w:rPr>
        <w:t>),</w:t>
      </w:r>
      <w:r w:rsidR="00412896" w:rsidRPr="00A74402">
        <w:rPr>
          <w:rFonts w:ascii="Times New Roman" w:hAnsi="Times New Roman" w:cs="Times New Roman"/>
          <w:sz w:val="24"/>
          <w:szCs w:val="24"/>
        </w:rPr>
        <w:t xml:space="preserve"> “La productividad en Chile: una mirada de largo plazo”, </w:t>
      </w:r>
      <w:r w:rsidR="00412896" w:rsidRPr="00A74402">
        <w:rPr>
          <w:rFonts w:ascii="Times New Roman" w:hAnsi="Times New Roman" w:cs="Times New Roman"/>
          <w:i/>
          <w:sz w:val="24"/>
          <w:szCs w:val="24"/>
        </w:rPr>
        <w:t>Informe Anual</w:t>
      </w:r>
      <w:r w:rsidR="00412896" w:rsidRPr="00A74402">
        <w:rPr>
          <w:rFonts w:ascii="Times New Roman" w:hAnsi="Times New Roman" w:cs="Times New Roman"/>
          <w:sz w:val="24"/>
          <w:szCs w:val="24"/>
        </w:rPr>
        <w:t xml:space="preserve">, Comisión </w:t>
      </w:r>
    </w:p>
    <w:p w14:paraId="15C444D4" w14:textId="0488608F" w:rsidR="00412896" w:rsidRPr="00A74402" w:rsidRDefault="00412896" w:rsidP="000679FC">
      <w:pPr>
        <w:widowControl w:val="0"/>
        <w:spacing w:after="100" w:afterAutospacing="1" w:line="240" w:lineRule="auto"/>
        <w:ind w:right="-432" w:firstLine="708"/>
        <w:contextualSpacing/>
        <w:rPr>
          <w:rFonts w:ascii="Times New Roman" w:hAnsi="Times New Roman" w:cs="Times New Roman"/>
          <w:sz w:val="24"/>
          <w:szCs w:val="24"/>
        </w:rPr>
      </w:pPr>
      <w:r w:rsidRPr="00A74402">
        <w:rPr>
          <w:rFonts w:ascii="Times New Roman" w:hAnsi="Times New Roman" w:cs="Times New Roman"/>
          <w:sz w:val="24"/>
          <w:szCs w:val="24"/>
        </w:rPr>
        <w:t>Nacional de Productividad, Santiago.</w:t>
      </w:r>
    </w:p>
    <w:p w14:paraId="5D0A269A" w14:textId="1E257A35" w:rsidR="00CF7D72" w:rsidRPr="00A74402" w:rsidRDefault="006B1935" w:rsidP="00931A70">
      <w:pPr>
        <w:widowControl w:val="0"/>
        <w:spacing w:after="100" w:afterAutospacing="1" w:line="240" w:lineRule="auto"/>
        <w:ind w:right="-432"/>
        <w:contextualSpacing/>
        <w:rPr>
          <w:rFonts w:ascii="Times New Roman" w:hAnsi="Times New Roman" w:cs="Times New Roman"/>
          <w:sz w:val="24"/>
          <w:szCs w:val="24"/>
        </w:rPr>
      </w:pPr>
      <w:r w:rsidRPr="00A74402">
        <w:rPr>
          <w:rFonts w:ascii="Times New Roman" w:hAnsi="Times New Roman" w:cs="Times New Roman"/>
          <w:sz w:val="24"/>
          <w:szCs w:val="24"/>
        </w:rPr>
        <w:softHyphen/>
      </w:r>
      <w:r w:rsidRPr="00A74402">
        <w:rPr>
          <w:rFonts w:ascii="Times New Roman" w:hAnsi="Times New Roman" w:cs="Times New Roman"/>
          <w:sz w:val="24"/>
          <w:szCs w:val="24"/>
        </w:rPr>
        <w:softHyphen/>
      </w:r>
      <w:r w:rsidRPr="00A74402">
        <w:rPr>
          <w:rFonts w:ascii="Times New Roman" w:hAnsi="Times New Roman" w:cs="Times New Roman"/>
          <w:sz w:val="24"/>
          <w:szCs w:val="24"/>
        </w:rPr>
        <w:softHyphen/>
        <w:t xml:space="preserve">____ </w:t>
      </w:r>
      <w:r w:rsidR="00412896" w:rsidRPr="00A74402">
        <w:rPr>
          <w:rFonts w:ascii="Times New Roman" w:hAnsi="Times New Roman" w:cs="Times New Roman"/>
          <w:sz w:val="24"/>
          <w:szCs w:val="24"/>
        </w:rPr>
        <w:t xml:space="preserve"> </w:t>
      </w:r>
      <w:r w:rsidRPr="00A74402">
        <w:rPr>
          <w:rFonts w:ascii="Times New Roman" w:hAnsi="Times New Roman" w:cs="Times New Roman"/>
          <w:sz w:val="24"/>
          <w:szCs w:val="24"/>
        </w:rPr>
        <w:t>(2017b</w:t>
      </w:r>
      <w:r w:rsidR="00412896" w:rsidRPr="00A74402">
        <w:rPr>
          <w:rFonts w:ascii="Times New Roman" w:hAnsi="Times New Roman" w:cs="Times New Roman"/>
          <w:sz w:val="24"/>
          <w:szCs w:val="24"/>
        </w:rPr>
        <w:t xml:space="preserve">), </w:t>
      </w:r>
      <w:r w:rsidRPr="00A74402">
        <w:rPr>
          <w:rFonts w:ascii="Times New Roman" w:hAnsi="Times New Roman" w:cs="Times New Roman"/>
          <w:sz w:val="24"/>
          <w:szCs w:val="24"/>
        </w:rPr>
        <w:t>“Productividad en la gran minería del cobre”, CN</w:t>
      </w:r>
      <w:r w:rsidR="00931A70">
        <w:rPr>
          <w:rFonts w:ascii="Times New Roman" w:hAnsi="Times New Roman" w:cs="Times New Roman"/>
          <w:sz w:val="24"/>
          <w:szCs w:val="24"/>
        </w:rPr>
        <w:t xml:space="preserve"> de </w:t>
      </w:r>
      <w:r w:rsidR="00412896" w:rsidRPr="00A74402">
        <w:rPr>
          <w:rFonts w:ascii="Times New Roman" w:hAnsi="Times New Roman" w:cs="Times New Roman"/>
          <w:sz w:val="24"/>
          <w:szCs w:val="24"/>
        </w:rPr>
        <w:t>Productividad, Santiago.</w:t>
      </w:r>
    </w:p>
    <w:p w14:paraId="0E427D2B" w14:textId="5EDC9CB4" w:rsidR="008E2972" w:rsidRPr="00A74402" w:rsidRDefault="008E2972" w:rsidP="000679FC">
      <w:pPr>
        <w:widowControl w:val="0"/>
        <w:spacing w:after="100" w:afterAutospacing="1" w:line="240" w:lineRule="auto"/>
        <w:ind w:right="-432"/>
        <w:contextualSpacing/>
        <w:rPr>
          <w:rFonts w:ascii="Times New Roman" w:hAnsi="Times New Roman" w:cs="Times New Roman"/>
          <w:sz w:val="24"/>
          <w:szCs w:val="24"/>
        </w:rPr>
      </w:pPr>
      <w:r w:rsidRPr="00A74402">
        <w:rPr>
          <w:rFonts w:ascii="Times New Roman" w:hAnsi="Times New Roman" w:cs="Times New Roman"/>
          <w:sz w:val="24"/>
          <w:szCs w:val="24"/>
        </w:rPr>
        <w:t xml:space="preserve">Coremberg, A. </w:t>
      </w:r>
      <w:r w:rsidR="002D5EE7" w:rsidRPr="00A74402">
        <w:rPr>
          <w:rFonts w:ascii="Times New Roman" w:hAnsi="Times New Roman" w:cs="Times New Roman"/>
          <w:sz w:val="24"/>
          <w:szCs w:val="24"/>
        </w:rPr>
        <w:t>y F.</w:t>
      </w:r>
      <w:r w:rsidRPr="00A74402">
        <w:rPr>
          <w:rFonts w:ascii="Times New Roman" w:hAnsi="Times New Roman" w:cs="Times New Roman"/>
          <w:sz w:val="24"/>
          <w:szCs w:val="24"/>
        </w:rPr>
        <w:t xml:space="preserve"> Pérez García (2010), "Fuentes del crecimiento y productividad en </w:t>
      </w:r>
    </w:p>
    <w:p w14:paraId="27C89DD5" w14:textId="2783F909" w:rsidR="008E2972" w:rsidRPr="00A74402" w:rsidRDefault="008E2972" w:rsidP="000679FC">
      <w:pPr>
        <w:spacing w:after="100" w:afterAutospacing="1" w:line="240" w:lineRule="auto"/>
        <w:ind w:left="708"/>
        <w:contextualSpacing/>
        <w:rPr>
          <w:rFonts w:ascii="Times New Roman" w:hAnsi="Times New Roman" w:cs="Times New Roman"/>
          <w:sz w:val="24"/>
          <w:szCs w:val="24"/>
        </w:rPr>
      </w:pPr>
      <w:r w:rsidRPr="00A74402">
        <w:rPr>
          <w:rFonts w:ascii="Times New Roman" w:hAnsi="Times New Roman" w:cs="Times New Roman"/>
          <w:sz w:val="24"/>
          <w:szCs w:val="24"/>
        </w:rPr>
        <w:t>Europa y América Latina"</w:t>
      </w:r>
      <w:r w:rsidR="00770EAE" w:rsidRPr="00A74402">
        <w:rPr>
          <w:rFonts w:ascii="Times New Roman" w:hAnsi="Times New Roman" w:cs="Times New Roman"/>
          <w:sz w:val="24"/>
          <w:szCs w:val="24"/>
        </w:rPr>
        <w:t>,</w:t>
      </w:r>
      <w:r w:rsidRPr="00A74402">
        <w:rPr>
          <w:rFonts w:ascii="Times New Roman" w:hAnsi="Times New Roman" w:cs="Times New Roman"/>
          <w:sz w:val="24"/>
          <w:szCs w:val="24"/>
        </w:rPr>
        <w:t xml:space="preserve"> Books, Fundaci</w:t>
      </w:r>
      <w:r w:rsidR="00770EAE" w:rsidRPr="00A74402">
        <w:rPr>
          <w:rFonts w:ascii="Times New Roman" w:hAnsi="Times New Roman" w:cs="Times New Roman"/>
          <w:sz w:val="24"/>
          <w:szCs w:val="24"/>
        </w:rPr>
        <w:t>ón</w:t>
      </w:r>
      <w:r w:rsidRPr="00A74402">
        <w:rPr>
          <w:rFonts w:ascii="Times New Roman" w:hAnsi="Times New Roman" w:cs="Times New Roman"/>
          <w:sz w:val="24"/>
          <w:szCs w:val="24"/>
        </w:rPr>
        <w:t xml:space="preserve"> BBVA / BBVA Foundation, edition 0, number 2011101</w:t>
      </w:r>
    </w:p>
    <w:p w14:paraId="087CFC7F" w14:textId="7B8EDACD" w:rsidR="001B6C00" w:rsidRPr="00A74402" w:rsidRDefault="001B6C00" w:rsidP="000679FC">
      <w:pPr>
        <w:spacing w:line="240" w:lineRule="auto"/>
        <w:rPr>
          <w:rFonts w:ascii="Times New Roman" w:hAnsi="Times New Roman" w:cs="Times New Roman"/>
          <w:sz w:val="24"/>
          <w:szCs w:val="24"/>
        </w:rPr>
      </w:pPr>
      <w:r w:rsidRPr="00A74402">
        <w:rPr>
          <w:rFonts w:ascii="Times New Roman" w:hAnsi="Times New Roman" w:cs="Times New Roman"/>
          <w:sz w:val="24"/>
          <w:szCs w:val="24"/>
        </w:rPr>
        <w:t>DIPRES (201</w:t>
      </w:r>
      <w:r w:rsidR="0096218A" w:rsidRPr="00A74402">
        <w:rPr>
          <w:rFonts w:ascii="Times New Roman" w:hAnsi="Times New Roman" w:cs="Times New Roman"/>
          <w:sz w:val="24"/>
          <w:szCs w:val="24"/>
        </w:rPr>
        <w:t>8</w:t>
      </w:r>
      <w:r w:rsidRPr="00A74402">
        <w:rPr>
          <w:rFonts w:ascii="Times New Roman" w:hAnsi="Times New Roman" w:cs="Times New Roman"/>
          <w:sz w:val="24"/>
          <w:szCs w:val="24"/>
        </w:rPr>
        <w:t>), “Resultados del Comité Consultivo del PIB Tendencial</w:t>
      </w:r>
      <w:r w:rsidR="0096218A" w:rsidRPr="00A74402">
        <w:rPr>
          <w:rFonts w:ascii="Times New Roman" w:hAnsi="Times New Roman" w:cs="Times New Roman"/>
          <w:sz w:val="24"/>
          <w:szCs w:val="24"/>
        </w:rPr>
        <w:t>”</w:t>
      </w:r>
      <w:r w:rsidRPr="00A74402">
        <w:rPr>
          <w:rFonts w:ascii="Times New Roman" w:hAnsi="Times New Roman" w:cs="Times New Roman"/>
          <w:sz w:val="24"/>
          <w:szCs w:val="24"/>
        </w:rPr>
        <w:t>, Santiago, agosto.</w:t>
      </w:r>
    </w:p>
    <w:p w14:paraId="1A9E708B" w14:textId="48971923" w:rsidR="008E2972" w:rsidRPr="00A74402" w:rsidRDefault="008E2972" w:rsidP="000679FC">
      <w:pPr>
        <w:spacing w:line="240" w:lineRule="auto"/>
        <w:rPr>
          <w:rFonts w:ascii="Times New Roman" w:hAnsi="Times New Roman" w:cs="Times New Roman"/>
          <w:sz w:val="24"/>
          <w:szCs w:val="24"/>
        </w:rPr>
      </w:pPr>
      <w:r w:rsidRPr="00A74402">
        <w:rPr>
          <w:rFonts w:ascii="Times New Roman" w:hAnsi="Times New Roman" w:cs="Times New Roman"/>
          <w:sz w:val="24"/>
          <w:szCs w:val="24"/>
        </w:rPr>
        <w:t>DIRECON (2014), “a de inversiones directas de capitales chi</w:t>
      </w:r>
      <w:r w:rsidR="0096218A" w:rsidRPr="00A74402">
        <w:rPr>
          <w:rFonts w:ascii="Times New Roman" w:hAnsi="Times New Roman" w:cs="Times New Roman"/>
          <w:sz w:val="24"/>
          <w:szCs w:val="24"/>
        </w:rPr>
        <w:t>lenos en el mundo”,</w:t>
      </w:r>
      <w:r w:rsidR="0096218A" w:rsidRPr="00A74402">
        <w:rPr>
          <w:rFonts w:ascii="Times New Roman" w:hAnsi="Times New Roman" w:cs="Times New Roman"/>
          <w:sz w:val="24"/>
          <w:szCs w:val="24"/>
        </w:rPr>
        <w:tab/>
      </w:r>
      <w:r w:rsidRPr="00A74402">
        <w:rPr>
          <w:rFonts w:ascii="Times New Roman" w:hAnsi="Times New Roman" w:cs="Times New Roman"/>
          <w:sz w:val="24"/>
          <w:szCs w:val="24"/>
        </w:rPr>
        <w:t>Santiago, diciembre.</w:t>
      </w:r>
    </w:p>
    <w:p w14:paraId="7B03CB33" w14:textId="3147ACA7" w:rsidR="00770EAE" w:rsidRPr="00A74402" w:rsidRDefault="0040070D" w:rsidP="000679FC">
      <w:pPr>
        <w:widowControl w:val="0"/>
        <w:spacing w:line="240" w:lineRule="auto"/>
        <w:ind w:right="-431"/>
        <w:rPr>
          <w:rFonts w:ascii="Times New Roman" w:eastAsia="Times New Roman" w:hAnsi="Times New Roman" w:cs="Times New Roman"/>
          <w:color w:val="000000"/>
          <w:sz w:val="24"/>
          <w:szCs w:val="24"/>
          <w:lang w:val="en-US"/>
        </w:rPr>
      </w:pPr>
      <w:r w:rsidRPr="00A74402">
        <w:rPr>
          <w:rFonts w:ascii="Times New Roman" w:eastAsia="Times New Roman" w:hAnsi="Times New Roman" w:cs="Times New Roman"/>
          <w:color w:val="000000"/>
          <w:sz w:val="24"/>
          <w:szCs w:val="24"/>
          <w:lang w:val="en-US"/>
        </w:rPr>
        <w:t>Dogget</w:t>
      </w:r>
      <w:r w:rsidR="00364273" w:rsidRPr="00A74402">
        <w:rPr>
          <w:rFonts w:ascii="Times New Roman" w:eastAsia="Times New Roman" w:hAnsi="Times New Roman" w:cs="Times New Roman"/>
          <w:color w:val="000000"/>
          <w:sz w:val="24"/>
          <w:szCs w:val="24"/>
          <w:lang w:val="en-US"/>
        </w:rPr>
        <w:t>t</w:t>
      </w:r>
      <w:r w:rsidR="0015691D" w:rsidRPr="00A74402">
        <w:rPr>
          <w:rFonts w:ascii="Times New Roman" w:eastAsia="Times New Roman" w:hAnsi="Times New Roman" w:cs="Times New Roman"/>
          <w:color w:val="000000"/>
          <w:sz w:val="24"/>
          <w:szCs w:val="24"/>
          <w:lang w:val="en-US"/>
        </w:rPr>
        <w:t>, M.</w:t>
      </w:r>
      <w:r w:rsidRPr="00A74402">
        <w:rPr>
          <w:rFonts w:ascii="Times New Roman" w:eastAsia="Times New Roman" w:hAnsi="Times New Roman" w:cs="Times New Roman"/>
          <w:color w:val="000000"/>
          <w:sz w:val="24"/>
          <w:szCs w:val="24"/>
          <w:lang w:val="en-US"/>
        </w:rPr>
        <w:t xml:space="preserve"> </w:t>
      </w:r>
      <w:r w:rsidR="00D50AF6" w:rsidRPr="00A74402">
        <w:rPr>
          <w:rFonts w:ascii="Times New Roman" w:eastAsia="Times New Roman" w:hAnsi="Times New Roman" w:cs="Times New Roman"/>
          <w:color w:val="000000"/>
          <w:sz w:val="24"/>
          <w:szCs w:val="24"/>
          <w:lang w:val="en-US"/>
        </w:rPr>
        <w:t xml:space="preserve">y R. </w:t>
      </w:r>
      <w:r w:rsidR="0015691D" w:rsidRPr="00A74402">
        <w:rPr>
          <w:rFonts w:ascii="Times New Roman" w:eastAsia="Times New Roman" w:hAnsi="Times New Roman" w:cs="Times New Roman"/>
          <w:color w:val="000000"/>
          <w:sz w:val="24"/>
          <w:szCs w:val="24"/>
          <w:lang w:val="en-US"/>
        </w:rPr>
        <w:t xml:space="preserve">Leveille </w:t>
      </w:r>
      <w:r w:rsidRPr="00A74402">
        <w:rPr>
          <w:rFonts w:ascii="Times New Roman" w:eastAsia="Times New Roman" w:hAnsi="Times New Roman" w:cs="Times New Roman"/>
          <w:color w:val="000000"/>
          <w:sz w:val="24"/>
          <w:szCs w:val="24"/>
          <w:lang w:val="en-US"/>
        </w:rPr>
        <w:t>(</w:t>
      </w:r>
      <w:r w:rsidR="0015691D" w:rsidRPr="00A74402">
        <w:rPr>
          <w:rFonts w:ascii="Times New Roman" w:eastAsia="Times New Roman" w:hAnsi="Times New Roman" w:cs="Times New Roman"/>
          <w:color w:val="000000"/>
          <w:sz w:val="24"/>
          <w:szCs w:val="24"/>
          <w:lang w:val="en-US"/>
        </w:rPr>
        <w:t>2010)</w:t>
      </w:r>
      <w:r w:rsidR="00CB27E1" w:rsidRPr="00A74402">
        <w:rPr>
          <w:rFonts w:ascii="Times New Roman" w:eastAsia="Times New Roman" w:hAnsi="Times New Roman" w:cs="Times New Roman"/>
          <w:color w:val="000000"/>
          <w:sz w:val="24"/>
          <w:szCs w:val="24"/>
          <w:lang w:val="en-US"/>
        </w:rPr>
        <w:t>,</w:t>
      </w:r>
      <w:r w:rsidR="0015691D" w:rsidRPr="00A74402">
        <w:rPr>
          <w:rFonts w:ascii="Times New Roman" w:eastAsia="Times New Roman" w:hAnsi="Times New Roman" w:cs="Times New Roman"/>
          <w:color w:val="000000"/>
          <w:sz w:val="24"/>
          <w:szCs w:val="24"/>
          <w:lang w:val="en-US"/>
        </w:rPr>
        <w:t xml:space="preserve"> “Assessing the Returns to Copper Exploration, 1989–2008”, </w:t>
      </w:r>
    </w:p>
    <w:p w14:paraId="361713B9" w14:textId="5B976407" w:rsidR="0040070D" w:rsidRPr="00A74402" w:rsidRDefault="0015691D" w:rsidP="000679FC">
      <w:pPr>
        <w:widowControl w:val="0"/>
        <w:spacing w:line="240" w:lineRule="auto"/>
        <w:ind w:right="-431" w:firstLine="708"/>
        <w:rPr>
          <w:rFonts w:ascii="Times New Roman" w:eastAsia="Times New Roman" w:hAnsi="Times New Roman" w:cs="Times New Roman"/>
          <w:color w:val="000000"/>
          <w:sz w:val="24"/>
          <w:szCs w:val="24"/>
          <w:lang w:val="en-US"/>
        </w:rPr>
      </w:pPr>
      <w:r w:rsidRPr="00A74402">
        <w:rPr>
          <w:rFonts w:ascii="Times New Roman" w:eastAsia="Times New Roman" w:hAnsi="Times New Roman" w:cs="Times New Roman"/>
          <w:color w:val="000000"/>
          <w:sz w:val="24"/>
          <w:szCs w:val="24"/>
          <w:lang w:val="en-US"/>
        </w:rPr>
        <w:t>Canadian Institute of Mining, Metallurgy and Petroleum</w:t>
      </w:r>
      <w:r w:rsidR="00364273" w:rsidRPr="00A74402">
        <w:rPr>
          <w:rFonts w:ascii="Times New Roman" w:eastAsia="Times New Roman" w:hAnsi="Times New Roman" w:cs="Times New Roman"/>
          <w:color w:val="000000"/>
          <w:sz w:val="24"/>
          <w:szCs w:val="24"/>
          <w:lang w:val="en-US"/>
        </w:rPr>
        <w:t>, Canada.</w:t>
      </w:r>
    </w:p>
    <w:p w14:paraId="25970413" w14:textId="77777777" w:rsidR="0096218A" w:rsidRPr="00A74402" w:rsidRDefault="000A403C" w:rsidP="000679FC">
      <w:pPr>
        <w:widowControl w:val="0"/>
        <w:spacing w:line="240" w:lineRule="auto"/>
        <w:ind w:right="-431"/>
        <w:rPr>
          <w:rFonts w:ascii="Times New Roman" w:eastAsia="Times New Roman" w:hAnsi="Times New Roman" w:cs="Times New Roman"/>
          <w:i/>
          <w:color w:val="000000"/>
          <w:sz w:val="24"/>
          <w:szCs w:val="24"/>
        </w:rPr>
      </w:pPr>
      <w:r w:rsidRPr="00A74402">
        <w:rPr>
          <w:rFonts w:ascii="Times New Roman" w:eastAsia="Times New Roman" w:hAnsi="Times New Roman" w:cs="Times New Roman"/>
          <w:color w:val="000000"/>
          <w:sz w:val="24"/>
          <w:szCs w:val="24"/>
        </w:rPr>
        <w:t>Fazio, H. (2000)</w:t>
      </w:r>
      <w:r w:rsidR="00BB5E0C" w:rsidRPr="00A74402">
        <w:rPr>
          <w:rFonts w:ascii="Times New Roman" w:eastAsia="Times New Roman" w:hAnsi="Times New Roman" w:cs="Times New Roman"/>
          <w:color w:val="000000"/>
          <w:sz w:val="24"/>
          <w:szCs w:val="24"/>
        </w:rPr>
        <w:t>,</w:t>
      </w:r>
      <w:r w:rsidRPr="00A74402">
        <w:rPr>
          <w:rFonts w:ascii="Times New Roman" w:eastAsia="Times New Roman" w:hAnsi="Times New Roman" w:cs="Times New Roman"/>
          <w:color w:val="000000"/>
          <w:sz w:val="24"/>
          <w:szCs w:val="24"/>
        </w:rPr>
        <w:t xml:space="preserve"> </w:t>
      </w:r>
      <w:r w:rsidRPr="00A74402">
        <w:rPr>
          <w:rFonts w:ascii="Times New Roman" w:eastAsia="Times New Roman" w:hAnsi="Times New Roman" w:cs="Times New Roman"/>
          <w:i/>
          <w:color w:val="000000"/>
          <w:sz w:val="24"/>
          <w:szCs w:val="24"/>
        </w:rPr>
        <w:t xml:space="preserve">La transnacionalización de la economía chilena. Mapa de la extrema riqueza </w:t>
      </w:r>
    </w:p>
    <w:p w14:paraId="27A1F664" w14:textId="5953A887" w:rsidR="000A403C" w:rsidRPr="00A74402" w:rsidRDefault="000A403C" w:rsidP="000679FC">
      <w:pPr>
        <w:widowControl w:val="0"/>
        <w:spacing w:line="240" w:lineRule="auto"/>
        <w:ind w:right="-431" w:firstLine="708"/>
        <w:rPr>
          <w:rFonts w:ascii="Times New Roman" w:eastAsia="Times New Roman" w:hAnsi="Times New Roman" w:cs="Times New Roman"/>
          <w:color w:val="000000"/>
          <w:sz w:val="24"/>
          <w:szCs w:val="24"/>
        </w:rPr>
      </w:pPr>
      <w:r w:rsidRPr="00A74402">
        <w:rPr>
          <w:rFonts w:ascii="Times New Roman" w:eastAsia="Times New Roman" w:hAnsi="Times New Roman" w:cs="Times New Roman"/>
          <w:i/>
          <w:color w:val="000000"/>
          <w:sz w:val="24"/>
          <w:szCs w:val="24"/>
        </w:rPr>
        <w:t>al año</w:t>
      </w:r>
      <w:r w:rsidR="0096218A" w:rsidRPr="00A74402">
        <w:rPr>
          <w:rFonts w:ascii="Times New Roman" w:eastAsia="Times New Roman" w:hAnsi="Times New Roman" w:cs="Times New Roman"/>
          <w:i/>
          <w:color w:val="000000"/>
          <w:sz w:val="24"/>
          <w:szCs w:val="24"/>
        </w:rPr>
        <w:t xml:space="preserve"> </w:t>
      </w:r>
      <w:r w:rsidRPr="00A74402">
        <w:rPr>
          <w:rFonts w:ascii="Times New Roman" w:eastAsia="Times New Roman" w:hAnsi="Times New Roman" w:cs="Times New Roman"/>
          <w:i/>
          <w:color w:val="000000"/>
          <w:sz w:val="24"/>
          <w:szCs w:val="24"/>
        </w:rPr>
        <w:t>2000</w:t>
      </w:r>
      <w:r w:rsidRPr="00A74402">
        <w:rPr>
          <w:rFonts w:ascii="Times New Roman" w:eastAsia="Times New Roman" w:hAnsi="Times New Roman" w:cs="Times New Roman"/>
          <w:color w:val="000000"/>
          <w:sz w:val="24"/>
          <w:szCs w:val="24"/>
        </w:rPr>
        <w:t xml:space="preserve">, </w:t>
      </w:r>
      <w:r w:rsidR="00E2647A" w:rsidRPr="00A74402">
        <w:rPr>
          <w:rFonts w:ascii="Times New Roman" w:eastAsia="Times New Roman" w:hAnsi="Times New Roman" w:cs="Times New Roman"/>
          <w:color w:val="000000"/>
          <w:sz w:val="24"/>
          <w:szCs w:val="24"/>
        </w:rPr>
        <w:t>LOM Ediciones</w:t>
      </w:r>
      <w:r w:rsidRPr="00A74402">
        <w:rPr>
          <w:rFonts w:ascii="Times New Roman" w:eastAsia="Times New Roman" w:hAnsi="Times New Roman" w:cs="Times New Roman"/>
          <w:color w:val="000000"/>
          <w:sz w:val="24"/>
          <w:szCs w:val="24"/>
        </w:rPr>
        <w:t>, Santiago.</w:t>
      </w:r>
    </w:p>
    <w:p w14:paraId="2199664F" w14:textId="7020BB7F" w:rsidR="008E2972" w:rsidRPr="00A74402" w:rsidRDefault="008E2972" w:rsidP="000679FC">
      <w:pPr>
        <w:spacing w:line="240" w:lineRule="auto"/>
        <w:rPr>
          <w:rFonts w:ascii="Times New Roman" w:hAnsi="Times New Roman" w:cs="Times New Roman"/>
          <w:color w:val="000000"/>
          <w:sz w:val="24"/>
          <w:szCs w:val="24"/>
        </w:rPr>
      </w:pPr>
      <w:r w:rsidRPr="00A74402">
        <w:rPr>
          <w:rFonts w:ascii="Times New Roman" w:hAnsi="Times New Roman" w:cs="Times New Roman"/>
          <w:sz w:val="24"/>
          <w:szCs w:val="24"/>
        </w:rPr>
        <w:t>Ffrench-Davis, R. (201</w:t>
      </w:r>
      <w:r w:rsidR="00A41D9F" w:rsidRPr="00A74402">
        <w:rPr>
          <w:rFonts w:ascii="Times New Roman" w:hAnsi="Times New Roman" w:cs="Times New Roman"/>
          <w:sz w:val="24"/>
          <w:szCs w:val="24"/>
        </w:rPr>
        <w:t>8</w:t>
      </w:r>
      <w:r w:rsidRPr="00A74402">
        <w:rPr>
          <w:rFonts w:ascii="Times New Roman" w:hAnsi="Times New Roman" w:cs="Times New Roman"/>
          <w:sz w:val="24"/>
          <w:szCs w:val="24"/>
        </w:rPr>
        <w:t>),</w:t>
      </w:r>
      <w:r w:rsidRPr="00A74402">
        <w:rPr>
          <w:rFonts w:ascii="Times New Roman" w:hAnsi="Times New Roman" w:cs="Times New Roman"/>
          <w:i/>
          <w:color w:val="000000"/>
          <w:sz w:val="24"/>
          <w:szCs w:val="24"/>
        </w:rPr>
        <w:t xml:space="preserve"> </w:t>
      </w:r>
      <w:r w:rsidR="00A41D9F" w:rsidRPr="00A74402">
        <w:rPr>
          <w:rFonts w:ascii="Times New Roman" w:hAnsi="Times New Roman" w:cs="Times New Roman"/>
          <w:i/>
          <w:color w:val="000000"/>
          <w:sz w:val="24"/>
          <w:szCs w:val="24"/>
        </w:rPr>
        <w:t>Reformas económicas en Chile, 1973-2017, Taurus</w:t>
      </w:r>
      <w:r w:rsidR="00A41D9F" w:rsidRPr="00A74402">
        <w:rPr>
          <w:rFonts w:ascii="Times New Roman" w:hAnsi="Times New Roman" w:cs="Times New Roman"/>
          <w:color w:val="000000"/>
          <w:sz w:val="24"/>
          <w:szCs w:val="24"/>
        </w:rPr>
        <w:t>, sexta</w:t>
      </w:r>
      <w:r w:rsidRPr="00A74402">
        <w:rPr>
          <w:rFonts w:ascii="Times New Roman" w:hAnsi="Times New Roman" w:cs="Times New Roman"/>
          <w:color w:val="000000"/>
          <w:sz w:val="24"/>
          <w:szCs w:val="24"/>
        </w:rPr>
        <w:t xml:space="preserve"> edición,               </w:t>
      </w:r>
    </w:p>
    <w:p w14:paraId="14F6BBB2" w14:textId="6AEA1504" w:rsidR="008E2972" w:rsidRPr="00A74402" w:rsidRDefault="008E2972" w:rsidP="000679FC">
      <w:pPr>
        <w:spacing w:line="240" w:lineRule="auto"/>
        <w:ind w:firstLine="708"/>
        <w:rPr>
          <w:rFonts w:ascii="Times New Roman" w:hAnsi="Times New Roman" w:cs="Times New Roman"/>
          <w:color w:val="000000"/>
          <w:sz w:val="24"/>
          <w:szCs w:val="24"/>
        </w:rPr>
      </w:pPr>
      <w:r w:rsidRPr="00A74402">
        <w:rPr>
          <w:rFonts w:ascii="Times New Roman" w:hAnsi="Times New Roman" w:cs="Times New Roman"/>
          <w:color w:val="000000"/>
          <w:sz w:val="24"/>
          <w:szCs w:val="24"/>
        </w:rPr>
        <w:t xml:space="preserve">Santiago. </w:t>
      </w:r>
    </w:p>
    <w:p w14:paraId="588B4AB8" w14:textId="32C5D8EB" w:rsidR="008E2972" w:rsidRPr="00A74402" w:rsidRDefault="008E2972" w:rsidP="000679FC">
      <w:pPr>
        <w:spacing w:line="240" w:lineRule="auto"/>
        <w:rPr>
          <w:rFonts w:ascii="Times New Roman" w:hAnsi="Times New Roman" w:cs="Times New Roman"/>
          <w:sz w:val="24"/>
          <w:szCs w:val="24"/>
        </w:rPr>
      </w:pPr>
      <w:r w:rsidRPr="00A74402">
        <w:rPr>
          <w:rFonts w:ascii="Times New Roman" w:hAnsi="Times New Roman" w:cs="Times New Roman"/>
          <w:sz w:val="24"/>
          <w:szCs w:val="24"/>
        </w:rPr>
        <w:t xml:space="preserve">______ (2010), "Macroeconomía para el desarrollo: desde el </w:t>
      </w:r>
      <w:r w:rsidRPr="00A74402">
        <w:rPr>
          <w:rFonts w:ascii="Times New Roman" w:hAnsi="Times New Roman" w:cs="Times New Roman"/>
          <w:i/>
          <w:sz w:val="24"/>
          <w:szCs w:val="24"/>
        </w:rPr>
        <w:t>financierismo</w:t>
      </w:r>
      <w:r w:rsidRPr="00A74402">
        <w:rPr>
          <w:rFonts w:ascii="Times New Roman" w:hAnsi="Times New Roman" w:cs="Times New Roman"/>
          <w:sz w:val="24"/>
          <w:szCs w:val="24"/>
        </w:rPr>
        <w:t xml:space="preserve"> al </w:t>
      </w:r>
    </w:p>
    <w:p w14:paraId="72BE5161" w14:textId="77777777" w:rsidR="008E2972" w:rsidRPr="00A74402" w:rsidRDefault="008E2972" w:rsidP="000679FC">
      <w:pPr>
        <w:spacing w:line="240" w:lineRule="auto"/>
        <w:ind w:firstLine="708"/>
        <w:rPr>
          <w:rFonts w:ascii="Times New Roman" w:hAnsi="Times New Roman" w:cs="Times New Roman"/>
          <w:sz w:val="24"/>
          <w:szCs w:val="24"/>
        </w:rPr>
      </w:pPr>
      <w:r w:rsidRPr="00A74402">
        <w:rPr>
          <w:rFonts w:ascii="Times New Roman" w:hAnsi="Times New Roman" w:cs="Times New Roman"/>
          <w:i/>
          <w:sz w:val="24"/>
          <w:szCs w:val="24"/>
        </w:rPr>
        <w:t>productivismo</w:t>
      </w:r>
      <w:r w:rsidRPr="00A74402">
        <w:rPr>
          <w:rFonts w:ascii="Times New Roman" w:hAnsi="Times New Roman" w:cs="Times New Roman"/>
          <w:sz w:val="24"/>
          <w:szCs w:val="24"/>
        </w:rPr>
        <w:t xml:space="preserve">", </w:t>
      </w:r>
      <w:r w:rsidRPr="00A74402">
        <w:rPr>
          <w:rFonts w:ascii="Times New Roman" w:hAnsi="Times New Roman" w:cs="Times New Roman"/>
          <w:i/>
          <w:sz w:val="24"/>
          <w:szCs w:val="24"/>
        </w:rPr>
        <w:t>Revista CEPAL</w:t>
      </w:r>
      <w:r w:rsidRPr="00A74402">
        <w:rPr>
          <w:rFonts w:ascii="Times New Roman" w:hAnsi="Times New Roman" w:cs="Times New Roman"/>
          <w:sz w:val="24"/>
          <w:szCs w:val="24"/>
        </w:rPr>
        <w:t xml:space="preserve"> No 102, diciembre.</w:t>
      </w:r>
    </w:p>
    <w:p w14:paraId="75104E61" w14:textId="2C56EC26" w:rsidR="00A41D9F" w:rsidRPr="00A74402" w:rsidRDefault="008E2972" w:rsidP="000679FC">
      <w:pPr>
        <w:tabs>
          <w:tab w:val="left" w:pos="-720"/>
        </w:tabs>
        <w:suppressAutoHyphens/>
        <w:spacing w:line="240" w:lineRule="auto"/>
        <w:ind w:left="720" w:hanging="720"/>
        <w:rPr>
          <w:rFonts w:ascii="Times New Roman" w:hAnsi="Times New Roman" w:cs="Times New Roman"/>
          <w:sz w:val="24"/>
          <w:szCs w:val="24"/>
          <w:lang w:val="es-ES_tradnl"/>
        </w:rPr>
      </w:pPr>
      <w:r w:rsidRPr="00A74402">
        <w:rPr>
          <w:rFonts w:ascii="Times New Roman" w:hAnsi="Times New Roman" w:cs="Times New Roman"/>
          <w:sz w:val="24"/>
          <w:szCs w:val="24"/>
        </w:rPr>
        <w:t xml:space="preserve">_____  (2003), </w:t>
      </w:r>
      <w:r w:rsidRPr="00A74402">
        <w:rPr>
          <w:rFonts w:ascii="Times New Roman" w:hAnsi="Times New Roman" w:cs="Times New Roman"/>
          <w:sz w:val="24"/>
          <w:szCs w:val="24"/>
          <w:lang w:val="es-ES_tradnl"/>
        </w:rPr>
        <w:t xml:space="preserve">“La inversión extranjera directa en Chile”, en O. Muñoz (ed.), </w:t>
      </w:r>
      <w:r w:rsidRPr="00A74402">
        <w:rPr>
          <w:rFonts w:ascii="Times New Roman" w:hAnsi="Times New Roman" w:cs="Times New Roman"/>
          <w:i/>
          <w:sz w:val="24"/>
          <w:szCs w:val="24"/>
          <w:lang w:val="es-ES_tradnl"/>
        </w:rPr>
        <w:t>Hacia un Chile competitivo</w:t>
      </w:r>
      <w:r w:rsidRPr="00A74402">
        <w:rPr>
          <w:rFonts w:ascii="Times New Roman" w:hAnsi="Times New Roman" w:cs="Times New Roman"/>
          <w:sz w:val="24"/>
          <w:szCs w:val="24"/>
          <w:lang w:val="es-ES_tradnl"/>
        </w:rPr>
        <w:t>, Editorial Universitaria/FLACSO, Santiago.</w:t>
      </w:r>
    </w:p>
    <w:p w14:paraId="0A44DC98" w14:textId="0D9BC811" w:rsidR="008E2972" w:rsidRPr="00A74402" w:rsidRDefault="008E2972" w:rsidP="000679FC">
      <w:pPr>
        <w:tabs>
          <w:tab w:val="left" w:pos="-720"/>
        </w:tabs>
        <w:suppressAutoHyphens/>
        <w:spacing w:line="240" w:lineRule="auto"/>
        <w:ind w:left="720" w:hanging="720"/>
        <w:rPr>
          <w:rFonts w:ascii="Times New Roman" w:hAnsi="Times New Roman" w:cs="Times New Roman"/>
          <w:sz w:val="24"/>
          <w:szCs w:val="24"/>
        </w:rPr>
      </w:pPr>
      <w:r w:rsidRPr="00A74402">
        <w:rPr>
          <w:rFonts w:ascii="Times New Roman" w:hAnsi="Times New Roman" w:cs="Times New Roman"/>
          <w:sz w:val="24"/>
          <w:szCs w:val="24"/>
        </w:rPr>
        <w:t>______ y D. Vivanco (2016), “Depreciación del capital físico, inversión neta y producto interno neto”, Serie CIEPLAN/Universidad de Talca, Santiago, noviembre.</w:t>
      </w:r>
    </w:p>
    <w:p w14:paraId="52776BFD" w14:textId="1A08767B" w:rsidR="00381BD8" w:rsidRPr="00A74402" w:rsidRDefault="00A16AB5" w:rsidP="004D1F4E">
      <w:pPr>
        <w:widowControl w:val="0"/>
        <w:spacing w:line="240" w:lineRule="auto"/>
        <w:ind w:right="-432"/>
        <w:rPr>
          <w:rStyle w:val="Hipervnculo"/>
          <w:rFonts w:ascii="Times New Roman" w:eastAsia="Times New Roman" w:hAnsi="Times New Roman" w:cs="Times New Roman"/>
          <w:sz w:val="24"/>
          <w:szCs w:val="24"/>
        </w:rPr>
      </w:pPr>
      <w:r w:rsidRPr="00A74402">
        <w:rPr>
          <w:rFonts w:ascii="Times New Roman" w:eastAsia="Times New Roman" w:hAnsi="Times New Roman" w:cs="Times New Roman"/>
          <w:color w:val="000000"/>
          <w:sz w:val="24"/>
          <w:szCs w:val="24"/>
        </w:rPr>
        <w:t>Henríquez, C. (2008), “Stock de Capital en Chile (1985-2005): Meto</w:t>
      </w:r>
      <w:r w:rsidR="0096218A" w:rsidRPr="00A74402">
        <w:rPr>
          <w:rFonts w:ascii="Times New Roman" w:eastAsia="Times New Roman" w:hAnsi="Times New Roman" w:cs="Times New Roman"/>
          <w:color w:val="000000"/>
          <w:sz w:val="24"/>
          <w:szCs w:val="24"/>
        </w:rPr>
        <w:t>dología y Resultados”,</w:t>
      </w:r>
      <w:r w:rsidR="0096218A" w:rsidRPr="00A74402">
        <w:rPr>
          <w:rFonts w:ascii="Times New Roman" w:eastAsia="Times New Roman" w:hAnsi="Times New Roman" w:cs="Times New Roman"/>
          <w:color w:val="000000"/>
          <w:sz w:val="24"/>
          <w:szCs w:val="24"/>
        </w:rPr>
        <w:tab/>
      </w:r>
      <w:r w:rsidRPr="00A74402">
        <w:rPr>
          <w:rFonts w:ascii="Times New Roman" w:eastAsia="Times New Roman" w:hAnsi="Times New Roman" w:cs="Times New Roman"/>
          <w:color w:val="000000"/>
          <w:sz w:val="24"/>
          <w:szCs w:val="24"/>
        </w:rPr>
        <w:t>Estudios</w:t>
      </w:r>
      <w:r w:rsidRPr="00A74402">
        <w:rPr>
          <w:rFonts w:ascii="Times New Roman" w:eastAsia="Times New Roman" w:hAnsi="Times New Roman" w:cs="Times New Roman"/>
          <w:color w:val="000000"/>
          <w:sz w:val="24"/>
          <w:szCs w:val="24"/>
        </w:rPr>
        <w:tab/>
        <w:t>Económicos Estadísticos del Banco Central, N</w:t>
      </w:r>
      <w:r w:rsidRPr="00A74402">
        <w:rPr>
          <w:rFonts w:ascii="Times New Roman" w:hAnsi="Times New Roman" w:cs="Times New Roman"/>
          <w:sz w:val="24"/>
          <w:szCs w:val="24"/>
        </w:rPr>
        <w:t xml:space="preserve">°63, </w:t>
      </w:r>
      <w:r w:rsidR="0096218A" w:rsidRPr="00A74402">
        <w:rPr>
          <w:rFonts w:ascii="Times New Roman" w:hAnsi="Times New Roman" w:cs="Times New Roman"/>
          <w:sz w:val="24"/>
          <w:szCs w:val="24"/>
          <w:lang w:val="es-ES_tradnl"/>
        </w:rPr>
        <w:t>abril. Actualizaciones</w:t>
      </w:r>
      <w:r w:rsidR="0096218A" w:rsidRPr="00A74402">
        <w:rPr>
          <w:rFonts w:ascii="Times New Roman" w:hAnsi="Times New Roman" w:cs="Times New Roman"/>
          <w:sz w:val="24"/>
          <w:szCs w:val="24"/>
          <w:lang w:val="es-ES_tradnl"/>
        </w:rPr>
        <w:tab/>
      </w:r>
      <w:r w:rsidRPr="00A74402">
        <w:rPr>
          <w:rFonts w:ascii="Times New Roman" w:hAnsi="Times New Roman" w:cs="Times New Roman"/>
          <w:sz w:val="24"/>
          <w:szCs w:val="24"/>
          <w:lang w:val="es-ES_tradnl"/>
        </w:rPr>
        <w:t>en Documentos Anexos:</w:t>
      </w:r>
      <w:r w:rsidRPr="00A74402">
        <w:rPr>
          <w:rFonts w:ascii="Times New Roman" w:hAnsi="Times New Roman" w:cs="Times New Roman"/>
          <w:sz w:val="24"/>
          <w:szCs w:val="24"/>
          <w:lang w:val="es-ES_tradnl"/>
        </w:rPr>
        <w:tab/>
        <w:t xml:space="preserve">“Series de stock capital consumo capital fijo. </w:t>
      </w:r>
      <w:r w:rsidRPr="00A74402">
        <w:rPr>
          <w:rFonts w:ascii="Times New Roman" w:hAnsi="Times New Roman" w:cs="Times New Roman"/>
          <w:sz w:val="24"/>
          <w:szCs w:val="24"/>
        </w:rPr>
        <w:t>Periodo 1985</w:t>
      </w:r>
      <w:r w:rsidR="00D938C5" w:rsidRPr="00A74402">
        <w:rPr>
          <w:rFonts w:ascii="Times New Roman" w:hAnsi="Times New Roman" w:cs="Times New Roman"/>
          <w:sz w:val="24"/>
          <w:szCs w:val="24"/>
        </w:rPr>
        <w:tab/>
      </w:r>
      <w:r w:rsidRPr="00A74402">
        <w:rPr>
          <w:rFonts w:ascii="Times New Roman" w:hAnsi="Times New Roman" w:cs="Times New Roman"/>
          <w:sz w:val="24"/>
          <w:szCs w:val="24"/>
        </w:rPr>
        <w:t>2015 referencia 2008” en</w:t>
      </w:r>
      <w:r w:rsidR="00B7753C" w:rsidRPr="00A74402">
        <w:rPr>
          <w:rFonts w:ascii="Times New Roman" w:hAnsi="Times New Roman" w:cs="Times New Roman"/>
          <w:sz w:val="24"/>
          <w:szCs w:val="24"/>
        </w:rPr>
        <w:t xml:space="preserve"> </w:t>
      </w:r>
      <w:hyperlink r:id="rId9" w:history="1">
        <w:r w:rsidR="003B6760" w:rsidRPr="00A74402">
          <w:rPr>
            <w:rStyle w:val="Hipervnculo"/>
            <w:rFonts w:ascii="Times New Roman" w:eastAsia="Times New Roman" w:hAnsi="Times New Roman" w:cs="Times New Roman"/>
            <w:sz w:val="24"/>
            <w:szCs w:val="24"/>
          </w:rPr>
          <w:t>http://www.bcentral.cl/web/guest/-/stock-de-capital-en</w:t>
        </w:r>
        <w:r w:rsidR="003B6760" w:rsidRPr="00A74402">
          <w:rPr>
            <w:rStyle w:val="Hipervnculo"/>
            <w:rFonts w:ascii="Times New Roman" w:eastAsia="Times New Roman" w:hAnsi="Times New Roman" w:cs="Times New Roman"/>
            <w:sz w:val="24"/>
            <w:szCs w:val="24"/>
          </w:rPr>
          <w:tab/>
          <w:t>chile-</w:t>
        </w:r>
        <w:r w:rsidR="003B6760" w:rsidRPr="00A74402">
          <w:rPr>
            <w:rStyle w:val="Hipervnculo"/>
            <w:rFonts w:ascii="Times New Roman" w:eastAsia="Times New Roman" w:hAnsi="Times New Roman" w:cs="Times New Roman"/>
            <w:sz w:val="24"/>
            <w:szCs w:val="24"/>
          </w:rPr>
          <w:tab/>
          <w:t>1985-2005-metodologia-y-resultad-1</w:t>
        </w:r>
      </w:hyperlink>
      <w:r w:rsidRPr="00A74402">
        <w:rPr>
          <w:rStyle w:val="Hipervnculo"/>
          <w:rFonts w:ascii="Times New Roman" w:eastAsia="Times New Roman" w:hAnsi="Times New Roman" w:cs="Times New Roman"/>
          <w:sz w:val="24"/>
          <w:szCs w:val="24"/>
        </w:rPr>
        <w:t>.</w:t>
      </w:r>
    </w:p>
    <w:p w14:paraId="316E9BA3" w14:textId="5204A772" w:rsidR="008E2972" w:rsidRPr="00A74402" w:rsidRDefault="008E2972" w:rsidP="000679FC">
      <w:pPr>
        <w:widowControl w:val="0"/>
        <w:spacing w:line="240" w:lineRule="auto"/>
        <w:ind w:right="-432"/>
        <w:rPr>
          <w:rFonts w:ascii="Times New Roman" w:hAnsi="Times New Roman" w:cs="Times New Roman"/>
          <w:sz w:val="24"/>
          <w:szCs w:val="24"/>
          <w:lang w:val="en-US"/>
        </w:rPr>
      </w:pPr>
      <w:r w:rsidRPr="00A74402">
        <w:rPr>
          <w:rFonts w:ascii="Times New Roman" w:hAnsi="Times New Roman" w:cs="Times New Roman"/>
          <w:sz w:val="24"/>
          <w:szCs w:val="24"/>
          <w:lang w:val="en-US"/>
        </w:rPr>
        <w:t>H</w:t>
      </w:r>
      <w:r w:rsidR="00381BD8" w:rsidRPr="00A74402">
        <w:rPr>
          <w:rFonts w:ascii="Times New Roman" w:hAnsi="Times New Roman" w:cs="Times New Roman"/>
          <w:sz w:val="24"/>
          <w:szCs w:val="24"/>
          <w:lang w:val="en-US"/>
        </w:rPr>
        <w:t>irschman</w:t>
      </w:r>
      <w:r w:rsidRPr="00A74402">
        <w:rPr>
          <w:rFonts w:ascii="Times New Roman" w:hAnsi="Times New Roman" w:cs="Times New Roman"/>
          <w:sz w:val="24"/>
          <w:szCs w:val="24"/>
          <w:lang w:val="en-US"/>
        </w:rPr>
        <w:t>, A. O. (1958)</w:t>
      </w:r>
      <w:r w:rsidR="000A403C" w:rsidRPr="00A74402">
        <w:rPr>
          <w:rFonts w:ascii="Times New Roman" w:hAnsi="Times New Roman" w:cs="Times New Roman"/>
          <w:sz w:val="24"/>
          <w:szCs w:val="24"/>
          <w:lang w:val="en-US"/>
        </w:rPr>
        <w:t>,</w:t>
      </w:r>
      <w:r w:rsidRPr="00A74402">
        <w:rPr>
          <w:rFonts w:ascii="Times New Roman" w:hAnsi="Times New Roman" w:cs="Times New Roman"/>
          <w:sz w:val="24"/>
          <w:szCs w:val="24"/>
          <w:lang w:val="en-US"/>
        </w:rPr>
        <w:t xml:space="preserve"> </w:t>
      </w:r>
      <w:r w:rsidRPr="00A74402">
        <w:rPr>
          <w:rFonts w:ascii="Times New Roman" w:hAnsi="Times New Roman" w:cs="Times New Roman"/>
          <w:i/>
          <w:sz w:val="24"/>
          <w:szCs w:val="24"/>
          <w:lang w:val="en-US"/>
        </w:rPr>
        <w:t>The strategy of economic development</w:t>
      </w:r>
      <w:r w:rsidR="00381BD8" w:rsidRPr="00A74402">
        <w:rPr>
          <w:rFonts w:ascii="Times New Roman" w:hAnsi="Times New Roman" w:cs="Times New Roman"/>
          <w:sz w:val="24"/>
          <w:szCs w:val="24"/>
          <w:lang w:val="en-US"/>
        </w:rPr>
        <w:t>. New Haven: Yale</w:t>
      </w:r>
      <w:r w:rsidR="00381BD8" w:rsidRPr="00A74402">
        <w:rPr>
          <w:rFonts w:ascii="Times New Roman" w:hAnsi="Times New Roman" w:cs="Times New Roman"/>
          <w:sz w:val="24"/>
          <w:szCs w:val="24"/>
          <w:lang w:val="en-US"/>
        </w:rPr>
        <w:tab/>
      </w:r>
      <w:r w:rsidRPr="00A74402">
        <w:rPr>
          <w:rFonts w:ascii="Times New Roman" w:hAnsi="Times New Roman" w:cs="Times New Roman"/>
          <w:sz w:val="24"/>
          <w:szCs w:val="24"/>
          <w:lang w:val="en-US"/>
        </w:rPr>
        <w:t>University</w:t>
      </w:r>
      <w:r w:rsidR="00381BD8" w:rsidRPr="00A74402">
        <w:rPr>
          <w:rFonts w:ascii="Times New Roman" w:hAnsi="Times New Roman" w:cs="Times New Roman"/>
          <w:sz w:val="24"/>
          <w:szCs w:val="24"/>
          <w:lang w:val="en-US"/>
        </w:rPr>
        <w:t xml:space="preserve"> </w:t>
      </w:r>
      <w:r w:rsidRPr="00A74402">
        <w:rPr>
          <w:rFonts w:ascii="Times New Roman" w:hAnsi="Times New Roman" w:cs="Times New Roman"/>
          <w:sz w:val="24"/>
          <w:szCs w:val="24"/>
          <w:lang w:val="en-US"/>
        </w:rPr>
        <w:t>Press.</w:t>
      </w:r>
    </w:p>
    <w:p w14:paraId="5B3EC2C2" w14:textId="1ECE0C89" w:rsidR="00D50AF6" w:rsidRPr="00A74402" w:rsidRDefault="00F80A27" w:rsidP="000679FC">
      <w:pPr>
        <w:spacing w:line="240" w:lineRule="auto"/>
        <w:rPr>
          <w:rFonts w:ascii="Times New Roman" w:hAnsi="Times New Roman" w:cs="Times New Roman"/>
          <w:sz w:val="24"/>
          <w:szCs w:val="24"/>
          <w:lang w:val="en-US"/>
        </w:rPr>
      </w:pPr>
      <w:r w:rsidRPr="00A74402">
        <w:rPr>
          <w:rFonts w:ascii="Times New Roman" w:hAnsi="Times New Roman" w:cs="Times New Roman"/>
          <w:sz w:val="24"/>
          <w:szCs w:val="24"/>
          <w:lang w:val="en-US"/>
        </w:rPr>
        <w:t xml:space="preserve">Jorgenson, </w:t>
      </w:r>
      <w:r w:rsidR="00661D9D" w:rsidRPr="00A74402">
        <w:rPr>
          <w:rFonts w:ascii="Times New Roman" w:hAnsi="Times New Roman" w:cs="Times New Roman"/>
          <w:sz w:val="24"/>
          <w:szCs w:val="24"/>
          <w:lang w:val="en-US"/>
        </w:rPr>
        <w:t xml:space="preserve">D. </w:t>
      </w:r>
      <w:r w:rsidR="00770EAE" w:rsidRPr="00A74402">
        <w:rPr>
          <w:rFonts w:ascii="Times New Roman" w:hAnsi="Times New Roman" w:cs="Times New Roman"/>
          <w:sz w:val="24"/>
          <w:szCs w:val="24"/>
          <w:lang w:val="en-US"/>
        </w:rPr>
        <w:t>y</w:t>
      </w:r>
      <w:r w:rsidR="00661D9D" w:rsidRPr="00A74402">
        <w:rPr>
          <w:rFonts w:ascii="Times New Roman" w:hAnsi="Times New Roman" w:cs="Times New Roman"/>
          <w:sz w:val="24"/>
          <w:szCs w:val="24"/>
          <w:lang w:val="en-US"/>
        </w:rPr>
        <w:t xml:space="preserve"> </w:t>
      </w:r>
      <w:r w:rsidR="00770EAE" w:rsidRPr="00A74402">
        <w:rPr>
          <w:rFonts w:ascii="Times New Roman" w:hAnsi="Times New Roman" w:cs="Times New Roman"/>
          <w:sz w:val="24"/>
          <w:szCs w:val="24"/>
          <w:lang w:val="en-US"/>
        </w:rPr>
        <w:t>K.</w:t>
      </w:r>
      <w:r w:rsidR="00931A70">
        <w:rPr>
          <w:rFonts w:ascii="Times New Roman" w:hAnsi="Times New Roman" w:cs="Times New Roman"/>
          <w:sz w:val="24"/>
          <w:szCs w:val="24"/>
          <w:lang w:val="en-US"/>
        </w:rPr>
        <w:t xml:space="preserve"> </w:t>
      </w:r>
      <w:r w:rsidR="00661D9D" w:rsidRPr="00A74402">
        <w:rPr>
          <w:rFonts w:ascii="Times New Roman" w:hAnsi="Times New Roman" w:cs="Times New Roman"/>
          <w:sz w:val="24"/>
          <w:szCs w:val="24"/>
          <w:lang w:val="en-US"/>
        </w:rPr>
        <w:t>Vu</w:t>
      </w:r>
      <w:r w:rsidRPr="00A74402">
        <w:rPr>
          <w:rFonts w:ascii="Times New Roman" w:hAnsi="Times New Roman" w:cs="Times New Roman"/>
          <w:sz w:val="24"/>
          <w:szCs w:val="24"/>
          <w:lang w:val="en-US"/>
        </w:rPr>
        <w:t xml:space="preserve"> (2001),</w:t>
      </w:r>
      <w:r w:rsidR="00661D9D" w:rsidRPr="00A74402">
        <w:rPr>
          <w:rFonts w:ascii="Times New Roman" w:hAnsi="Times New Roman" w:cs="Times New Roman"/>
          <w:sz w:val="24"/>
          <w:szCs w:val="24"/>
          <w:lang w:val="en-US"/>
        </w:rPr>
        <w:t xml:space="preserve"> “Accounting for Growth in the </w:t>
      </w:r>
      <w:r w:rsidR="0015691D" w:rsidRPr="00A74402">
        <w:rPr>
          <w:rFonts w:ascii="Times New Roman" w:hAnsi="Times New Roman" w:cs="Times New Roman"/>
          <w:sz w:val="24"/>
          <w:szCs w:val="24"/>
          <w:lang w:val="en-US"/>
        </w:rPr>
        <w:t>I</w:t>
      </w:r>
      <w:r w:rsidR="00661D9D" w:rsidRPr="00A74402">
        <w:rPr>
          <w:rFonts w:ascii="Times New Roman" w:hAnsi="Times New Roman" w:cs="Times New Roman"/>
          <w:sz w:val="24"/>
          <w:szCs w:val="24"/>
          <w:lang w:val="en-US"/>
        </w:rPr>
        <w:t xml:space="preserve">nformation </w:t>
      </w:r>
      <w:r w:rsidR="0015691D" w:rsidRPr="00A74402">
        <w:rPr>
          <w:rFonts w:ascii="Times New Roman" w:hAnsi="Times New Roman" w:cs="Times New Roman"/>
          <w:sz w:val="24"/>
          <w:szCs w:val="24"/>
          <w:lang w:val="en-US"/>
        </w:rPr>
        <w:t xml:space="preserve">Age”, Department </w:t>
      </w:r>
    </w:p>
    <w:p w14:paraId="548B6CD3" w14:textId="11C27F0C" w:rsidR="00F80A27" w:rsidRPr="00A74402" w:rsidRDefault="0015691D" w:rsidP="000679FC">
      <w:pPr>
        <w:spacing w:line="240" w:lineRule="auto"/>
        <w:ind w:firstLine="708"/>
        <w:rPr>
          <w:rFonts w:ascii="Times New Roman" w:hAnsi="Times New Roman" w:cs="Times New Roman"/>
          <w:sz w:val="24"/>
          <w:szCs w:val="24"/>
          <w:highlight w:val="yellow"/>
          <w:lang w:val="en-US"/>
        </w:rPr>
      </w:pPr>
      <w:r w:rsidRPr="00A74402">
        <w:rPr>
          <w:rFonts w:ascii="Times New Roman" w:hAnsi="Times New Roman" w:cs="Times New Roman"/>
          <w:sz w:val="24"/>
          <w:szCs w:val="24"/>
          <w:lang w:val="en-US"/>
        </w:rPr>
        <w:t>of Economic</w:t>
      </w:r>
      <w:r w:rsidR="00770EAE" w:rsidRPr="00A74402">
        <w:rPr>
          <w:rFonts w:ascii="Times New Roman" w:hAnsi="Times New Roman" w:cs="Times New Roman"/>
          <w:sz w:val="24"/>
          <w:szCs w:val="24"/>
          <w:lang w:val="en-US"/>
        </w:rPr>
        <w:t>s</w:t>
      </w:r>
      <w:r w:rsidRPr="00A74402">
        <w:rPr>
          <w:rFonts w:ascii="Times New Roman" w:hAnsi="Times New Roman" w:cs="Times New Roman"/>
          <w:sz w:val="24"/>
          <w:szCs w:val="24"/>
          <w:lang w:val="en-US"/>
        </w:rPr>
        <w:t>, Harvard University.</w:t>
      </w:r>
    </w:p>
    <w:p w14:paraId="1AD4B333" w14:textId="1BB649A1" w:rsidR="00F80A27" w:rsidRPr="00A74402" w:rsidRDefault="00F80A27" w:rsidP="000679FC">
      <w:pPr>
        <w:spacing w:line="240" w:lineRule="auto"/>
        <w:rPr>
          <w:rFonts w:ascii="Times New Roman" w:hAnsi="Times New Roman" w:cs="Times New Roman"/>
          <w:sz w:val="24"/>
          <w:szCs w:val="24"/>
          <w:lang w:val="en-US"/>
        </w:rPr>
      </w:pPr>
      <w:r w:rsidRPr="00A74402">
        <w:rPr>
          <w:rFonts w:ascii="Times New Roman" w:hAnsi="Times New Roman" w:cs="Times New Roman"/>
          <w:sz w:val="24"/>
          <w:szCs w:val="24"/>
          <w:lang w:val="en-US"/>
        </w:rPr>
        <w:t>Katz, J.</w:t>
      </w:r>
      <w:r w:rsidR="00762F0A" w:rsidRPr="00A74402">
        <w:rPr>
          <w:rFonts w:ascii="Times New Roman" w:hAnsi="Times New Roman" w:cs="Times New Roman"/>
          <w:sz w:val="24"/>
          <w:szCs w:val="24"/>
          <w:lang w:val="en-US"/>
        </w:rPr>
        <w:t>, A. Hosono</w:t>
      </w:r>
      <w:r w:rsidRPr="00A74402">
        <w:rPr>
          <w:rFonts w:ascii="Times New Roman" w:hAnsi="Times New Roman" w:cs="Times New Roman"/>
          <w:sz w:val="24"/>
          <w:szCs w:val="24"/>
          <w:lang w:val="en-US"/>
        </w:rPr>
        <w:t xml:space="preserve"> </w:t>
      </w:r>
      <w:r w:rsidR="00AC007C" w:rsidRPr="00A74402">
        <w:rPr>
          <w:rFonts w:ascii="Times New Roman" w:hAnsi="Times New Roman" w:cs="Times New Roman"/>
          <w:sz w:val="24"/>
          <w:szCs w:val="24"/>
          <w:lang w:val="en-US"/>
        </w:rPr>
        <w:t>y M.</w:t>
      </w:r>
      <w:r w:rsidR="00661D9D" w:rsidRPr="00A74402">
        <w:rPr>
          <w:rFonts w:ascii="Times New Roman" w:hAnsi="Times New Roman" w:cs="Times New Roman"/>
          <w:sz w:val="24"/>
          <w:szCs w:val="24"/>
          <w:lang w:val="en-US"/>
        </w:rPr>
        <w:t xml:space="preserve"> </w:t>
      </w:r>
      <w:r w:rsidR="002D5EE7" w:rsidRPr="00A74402">
        <w:rPr>
          <w:rFonts w:ascii="Times New Roman" w:hAnsi="Times New Roman" w:cs="Times New Roman"/>
          <w:sz w:val="24"/>
          <w:szCs w:val="24"/>
          <w:lang w:val="en-US"/>
        </w:rPr>
        <w:t>L</w:t>
      </w:r>
      <w:r w:rsidR="00661D9D" w:rsidRPr="00A74402">
        <w:rPr>
          <w:rFonts w:ascii="Times New Roman" w:hAnsi="Times New Roman" w:cs="Times New Roman"/>
          <w:sz w:val="24"/>
          <w:szCs w:val="24"/>
          <w:lang w:val="en-US"/>
        </w:rPr>
        <w:t xml:space="preserve">izuka </w:t>
      </w:r>
      <w:r w:rsidRPr="00A74402">
        <w:rPr>
          <w:rFonts w:ascii="Times New Roman" w:hAnsi="Times New Roman" w:cs="Times New Roman"/>
          <w:sz w:val="24"/>
          <w:szCs w:val="24"/>
          <w:lang w:val="en-US"/>
        </w:rPr>
        <w:t>(201</w:t>
      </w:r>
      <w:r w:rsidR="00762F0A" w:rsidRPr="00A74402">
        <w:rPr>
          <w:rFonts w:ascii="Times New Roman" w:hAnsi="Times New Roman" w:cs="Times New Roman"/>
          <w:sz w:val="24"/>
          <w:szCs w:val="24"/>
          <w:lang w:val="en-US"/>
        </w:rPr>
        <w:t>6</w:t>
      </w:r>
      <w:r w:rsidR="00661D9D" w:rsidRPr="00A74402">
        <w:rPr>
          <w:rFonts w:ascii="Times New Roman" w:hAnsi="Times New Roman" w:cs="Times New Roman"/>
          <w:sz w:val="24"/>
          <w:szCs w:val="24"/>
          <w:lang w:val="en-US"/>
        </w:rPr>
        <w:t>)</w:t>
      </w:r>
      <w:r w:rsidR="002D5EE7" w:rsidRPr="00A74402">
        <w:rPr>
          <w:rFonts w:ascii="Times New Roman" w:hAnsi="Times New Roman" w:cs="Times New Roman"/>
          <w:sz w:val="24"/>
          <w:szCs w:val="24"/>
          <w:lang w:val="en-US"/>
        </w:rPr>
        <w:t>,</w:t>
      </w:r>
      <w:r w:rsidR="00661D9D" w:rsidRPr="00A74402">
        <w:rPr>
          <w:rFonts w:ascii="Times New Roman" w:hAnsi="Times New Roman" w:cs="Times New Roman"/>
          <w:sz w:val="24"/>
          <w:szCs w:val="24"/>
          <w:lang w:val="en-US"/>
        </w:rPr>
        <w:t xml:space="preserve"> </w:t>
      </w:r>
      <w:r w:rsidR="00661D9D" w:rsidRPr="00A74402">
        <w:rPr>
          <w:rFonts w:ascii="Times New Roman" w:hAnsi="Times New Roman" w:cs="Times New Roman"/>
          <w:i/>
          <w:sz w:val="24"/>
          <w:szCs w:val="24"/>
          <w:lang w:val="en-US"/>
        </w:rPr>
        <w:t>Chile</w:t>
      </w:r>
      <w:r w:rsidR="00762F0A" w:rsidRPr="00A74402">
        <w:rPr>
          <w:rFonts w:ascii="Times New Roman" w:hAnsi="Times New Roman" w:cs="Times New Roman"/>
          <w:i/>
          <w:sz w:val="24"/>
          <w:szCs w:val="24"/>
          <w:lang w:val="en-US"/>
        </w:rPr>
        <w:t xml:space="preserve">´s </w:t>
      </w:r>
      <w:r w:rsidR="00661D9D" w:rsidRPr="00A74402">
        <w:rPr>
          <w:rFonts w:ascii="Times New Roman" w:hAnsi="Times New Roman" w:cs="Times New Roman"/>
          <w:i/>
          <w:sz w:val="24"/>
          <w:szCs w:val="24"/>
          <w:lang w:val="en-US"/>
        </w:rPr>
        <w:t xml:space="preserve">salmon </w:t>
      </w:r>
      <w:r w:rsidR="00762F0A" w:rsidRPr="00A74402">
        <w:rPr>
          <w:rFonts w:ascii="Times New Roman" w:hAnsi="Times New Roman" w:cs="Times New Roman"/>
          <w:i/>
          <w:sz w:val="24"/>
          <w:szCs w:val="24"/>
          <w:lang w:val="en-US"/>
        </w:rPr>
        <w:t>industry</w:t>
      </w:r>
      <w:r w:rsidR="00762F0A" w:rsidRPr="00A74402">
        <w:rPr>
          <w:rFonts w:ascii="Times New Roman" w:hAnsi="Times New Roman" w:cs="Times New Roman"/>
          <w:sz w:val="24"/>
          <w:szCs w:val="24"/>
          <w:lang w:val="en-US"/>
        </w:rPr>
        <w:t>, Springer, Nueva York</w:t>
      </w:r>
      <w:r w:rsidR="00661D9D" w:rsidRPr="00A74402">
        <w:rPr>
          <w:rFonts w:ascii="Times New Roman" w:hAnsi="Times New Roman" w:cs="Times New Roman"/>
          <w:sz w:val="24"/>
          <w:szCs w:val="24"/>
          <w:lang w:val="en-US"/>
        </w:rPr>
        <w:t>.</w:t>
      </w:r>
    </w:p>
    <w:p w14:paraId="19319963" w14:textId="730710BC" w:rsidR="008E2972" w:rsidRPr="00A74402" w:rsidRDefault="008E2972" w:rsidP="000679FC">
      <w:pPr>
        <w:tabs>
          <w:tab w:val="left" w:pos="-720"/>
        </w:tabs>
        <w:suppressAutoHyphens/>
        <w:spacing w:line="240" w:lineRule="auto"/>
        <w:contextualSpacing/>
        <w:rPr>
          <w:rFonts w:ascii="Times New Roman" w:hAnsi="Times New Roman" w:cs="Times New Roman"/>
          <w:spacing w:val="-3"/>
          <w:sz w:val="24"/>
          <w:szCs w:val="24"/>
          <w:lang w:val="es-ES_tradnl"/>
        </w:rPr>
      </w:pPr>
      <w:r w:rsidRPr="00A74402">
        <w:rPr>
          <w:rFonts w:ascii="Times New Roman" w:hAnsi="Times New Roman" w:cs="Times New Roman"/>
          <w:spacing w:val="-3"/>
          <w:sz w:val="24"/>
          <w:szCs w:val="24"/>
          <w:lang w:val="es-ES_tradnl"/>
        </w:rPr>
        <w:t>Marcel, M.  y</w:t>
      </w:r>
      <w:r w:rsidR="00AC007C" w:rsidRPr="00A74402">
        <w:rPr>
          <w:rFonts w:ascii="Times New Roman" w:hAnsi="Times New Roman" w:cs="Times New Roman"/>
          <w:spacing w:val="-3"/>
          <w:sz w:val="24"/>
          <w:szCs w:val="24"/>
          <w:lang w:val="es-ES_tradnl"/>
        </w:rPr>
        <w:t xml:space="preserve"> </w:t>
      </w:r>
      <w:r w:rsidRPr="00A74402">
        <w:rPr>
          <w:rFonts w:ascii="Times New Roman" w:hAnsi="Times New Roman" w:cs="Times New Roman"/>
          <w:spacing w:val="-3"/>
          <w:sz w:val="24"/>
          <w:szCs w:val="24"/>
          <w:lang w:val="es-ES_tradnl"/>
        </w:rPr>
        <w:t xml:space="preserve"> P. Meller (1986), “Empalme de las cuentas nacionales de Chile 1960-85. Métodos </w:t>
      </w:r>
    </w:p>
    <w:p w14:paraId="1ED62D21" w14:textId="2AE08188" w:rsidR="008E2972" w:rsidRPr="00A74402" w:rsidRDefault="008E2972" w:rsidP="000679FC">
      <w:pPr>
        <w:tabs>
          <w:tab w:val="left" w:pos="-720"/>
        </w:tabs>
        <w:suppressAutoHyphens/>
        <w:spacing w:line="240" w:lineRule="auto"/>
        <w:contextualSpacing/>
        <w:rPr>
          <w:rFonts w:ascii="Times New Roman" w:hAnsi="Times New Roman" w:cs="Times New Roman"/>
          <w:spacing w:val="-3"/>
          <w:sz w:val="24"/>
          <w:szCs w:val="24"/>
          <w:lang w:val="es-ES_tradnl"/>
        </w:rPr>
      </w:pPr>
      <w:r w:rsidRPr="00A74402">
        <w:rPr>
          <w:rFonts w:ascii="Times New Roman" w:hAnsi="Times New Roman" w:cs="Times New Roman"/>
          <w:spacing w:val="-3"/>
          <w:sz w:val="24"/>
          <w:szCs w:val="24"/>
          <w:lang w:val="es-ES_tradnl"/>
        </w:rPr>
        <w:tab/>
        <w:t xml:space="preserve">alternativos y resultados”, </w:t>
      </w:r>
      <w:r w:rsidRPr="00A74402">
        <w:rPr>
          <w:rFonts w:ascii="Times New Roman" w:hAnsi="Times New Roman" w:cs="Times New Roman"/>
          <w:i/>
          <w:spacing w:val="-3"/>
          <w:sz w:val="24"/>
          <w:szCs w:val="24"/>
          <w:lang w:val="es-ES_tradnl"/>
        </w:rPr>
        <w:t xml:space="preserve">Colección Estudios CIEPLAN </w:t>
      </w:r>
      <w:r w:rsidRPr="00A74402">
        <w:rPr>
          <w:rFonts w:ascii="Times New Roman" w:hAnsi="Times New Roman" w:cs="Times New Roman"/>
          <w:spacing w:val="-3"/>
          <w:sz w:val="24"/>
          <w:szCs w:val="24"/>
          <w:lang w:val="es-ES_tradnl"/>
        </w:rPr>
        <w:t>20, diciembre.</w:t>
      </w:r>
    </w:p>
    <w:p w14:paraId="4A8769C4" w14:textId="5074952F" w:rsidR="00770EAE" w:rsidRPr="00A74402" w:rsidRDefault="00C97151" w:rsidP="000679FC">
      <w:pPr>
        <w:tabs>
          <w:tab w:val="left" w:pos="-720"/>
        </w:tabs>
        <w:suppressAutoHyphens/>
        <w:spacing w:line="240" w:lineRule="auto"/>
        <w:contextualSpacing/>
        <w:rPr>
          <w:rFonts w:ascii="Times New Roman" w:hAnsi="Times New Roman" w:cs="Times New Roman"/>
          <w:spacing w:val="-3"/>
          <w:sz w:val="24"/>
          <w:szCs w:val="24"/>
        </w:rPr>
      </w:pPr>
      <w:r w:rsidRPr="00A74402">
        <w:rPr>
          <w:rFonts w:ascii="Times New Roman" w:hAnsi="Times New Roman" w:cs="Times New Roman"/>
          <w:spacing w:val="-3"/>
          <w:sz w:val="24"/>
          <w:szCs w:val="24"/>
        </w:rPr>
        <w:t>Mazzucato, M. (2015)</w:t>
      </w:r>
      <w:r w:rsidR="00CB27E1" w:rsidRPr="00A74402">
        <w:rPr>
          <w:rFonts w:ascii="Times New Roman" w:hAnsi="Times New Roman" w:cs="Times New Roman"/>
          <w:spacing w:val="-3"/>
          <w:sz w:val="24"/>
          <w:szCs w:val="24"/>
        </w:rPr>
        <w:t>,</w:t>
      </w:r>
      <w:r w:rsidRPr="00A74402">
        <w:rPr>
          <w:rFonts w:ascii="Times New Roman" w:hAnsi="Times New Roman" w:cs="Times New Roman"/>
          <w:spacing w:val="-3"/>
          <w:sz w:val="24"/>
          <w:szCs w:val="24"/>
        </w:rPr>
        <w:t xml:space="preserve"> “The Entrepeneurial State”, </w:t>
      </w:r>
      <w:r w:rsidR="00661D9D" w:rsidRPr="00A74402">
        <w:rPr>
          <w:rFonts w:ascii="Times New Roman" w:hAnsi="Times New Roman" w:cs="Times New Roman"/>
          <w:spacing w:val="-3"/>
          <w:sz w:val="24"/>
          <w:szCs w:val="24"/>
        </w:rPr>
        <w:t xml:space="preserve">The Open University, </w:t>
      </w:r>
      <w:r w:rsidRPr="00A74402">
        <w:rPr>
          <w:rFonts w:ascii="Times New Roman" w:hAnsi="Times New Roman" w:cs="Times New Roman"/>
          <w:spacing w:val="-3"/>
          <w:sz w:val="24"/>
          <w:szCs w:val="24"/>
        </w:rPr>
        <w:t>Editor</w:t>
      </w:r>
      <w:r w:rsidR="00661D9D" w:rsidRPr="00A74402">
        <w:rPr>
          <w:rFonts w:ascii="Times New Roman" w:hAnsi="Times New Roman" w:cs="Times New Roman"/>
          <w:spacing w:val="-3"/>
          <w:sz w:val="24"/>
          <w:szCs w:val="24"/>
        </w:rPr>
        <w:t xml:space="preserve">ial Demos </w:t>
      </w:r>
    </w:p>
    <w:p w14:paraId="00CB1B40" w14:textId="43702388" w:rsidR="00C97151" w:rsidRPr="00A74402" w:rsidRDefault="00770EAE" w:rsidP="000679FC">
      <w:pPr>
        <w:tabs>
          <w:tab w:val="left" w:pos="-720"/>
        </w:tabs>
        <w:suppressAutoHyphens/>
        <w:spacing w:line="240" w:lineRule="auto"/>
        <w:contextualSpacing/>
        <w:rPr>
          <w:rFonts w:ascii="Times New Roman" w:hAnsi="Times New Roman" w:cs="Times New Roman"/>
          <w:spacing w:val="-3"/>
          <w:sz w:val="24"/>
          <w:szCs w:val="24"/>
        </w:rPr>
      </w:pPr>
      <w:r w:rsidRPr="00A74402">
        <w:rPr>
          <w:rFonts w:ascii="Times New Roman" w:hAnsi="Times New Roman" w:cs="Times New Roman"/>
          <w:spacing w:val="-3"/>
          <w:sz w:val="24"/>
          <w:szCs w:val="24"/>
        </w:rPr>
        <w:tab/>
      </w:r>
      <w:r w:rsidR="00661D9D" w:rsidRPr="00A74402">
        <w:rPr>
          <w:rFonts w:ascii="Times New Roman" w:hAnsi="Times New Roman" w:cs="Times New Roman"/>
          <w:spacing w:val="-3"/>
          <w:sz w:val="24"/>
          <w:szCs w:val="24"/>
        </w:rPr>
        <w:t>(</w:t>
      </w:r>
      <w:hyperlink r:id="rId10" w:history="1">
        <w:r w:rsidR="0076771B" w:rsidRPr="00A74402">
          <w:rPr>
            <w:rStyle w:val="Hipervnculo"/>
            <w:rFonts w:ascii="Times New Roman" w:hAnsi="Times New Roman" w:cs="Times New Roman"/>
            <w:spacing w:val="-3"/>
            <w:sz w:val="24"/>
            <w:szCs w:val="24"/>
          </w:rPr>
          <w:t>www.demos.co.uk</w:t>
        </w:r>
      </w:hyperlink>
      <w:r w:rsidR="00661D9D" w:rsidRPr="00A74402">
        <w:rPr>
          <w:rFonts w:ascii="Times New Roman" w:hAnsi="Times New Roman" w:cs="Times New Roman"/>
          <w:spacing w:val="-3"/>
          <w:sz w:val="24"/>
          <w:szCs w:val="24"/>
        </w:rPr>
        <w:t>)</w:t>
      </w:r>
    </w:p>
    <w:p w14:paraId="0F37A1B4" w14:textId="77777777" w:rsidR="002D5EE7" w:rsidRPr="00A74402" w:rsidRDefault="0076771B" w:rsidP="000679FC">
      <w:pPr>
        <w:tabs>
          <w:tab w:val="left" w:pos="-720"/>
        </w:tabs>
        <w:suppressAutoHyphens/>
        <w:spacing w:line="240" w:lineRule="auto"/>
        <w:contextualSpacing/>
        <w:rPr>
          <w:rFonts w:ascii="Times New Roman" w:hAnsi="Times New Roman" w:cs="Times New Roman"/>
          <w:spacing w:val="-3"/>
          <w:sz w:val="24"/>
          <w:szCs w:val="24"/>
        </w:rPr>
      </w:pPr>
      <w:r w:rsidRPr="00A74402">
        <w:rPr>
          <w:rFonts w:ascii="Times New Roman" w:hAnsi="Times New Roman" w:cs="Times New Roman"/>
          <w:spacing w:val="-3"/>
          <w:sz w:val="24"/>
          <w:szCs w:val="24"/>
        </w:rPr>
        <w:t>MOP (2017) “MOP: Inversión en Infraestructura a precios 2015</w:t>
      </w:r>
      <w:r w:rsidR="000677D9" w:rsidRPr="00A74402">
        <w:rPr>
          <w:rFonts w:ascii="Times New Roman" w:hAnsi="Times New Roman" w:cs="Times New Roman"/>
          <w:spacing w:val="-3"/>
          <w:sz w:val="24"/>
          <w:szCs w:val="24"/>
        </w:rPr>
        <w:t xml:space="preserve">”, Documento de Trabajo, </w:t>
      </w:r>
    </w:p>
    <w:p w14:paraId="51AD6496" w14:textId="651B6392" w:rsidR="0076771B" w:rsidRPr="00A74402" w:rsidRDefault="002D5EE7" w:rsidP="000679FC">
      <w:pPr>
        <w:tabs>
          <w:tab w:val="left" w:pos="-720"/>
        </w:tabs>
        <w:suppressAutoHyphens/>
        <w:spacing w:line="240" w:lineRule="auto"/>
        <w:contextualSpacing/>
        <w:rPr>
          <w:rFonts w:ascii="Times New Roman" w:hAnsi="Times New Roman" w:cs="Times New Roman"/>
          <w:spacing w:val="-3"/>
          <w:sz w:val="24"/>
          <w:szCs w:val="24"/>
        </w:rPr>
      </w:pPr>
      <w:r w:rsidRPr="00A74402">
        <w:rPr>
          <w:rFonts w:ascii="Times New Roman" w:hAnsi="Times New Roman" w:cs="Times New Roman"/>
          <w:spacing w:val="-3"/>
          <w:sz w:val="24"/>
          <w:szCs w:val="24"/>
        </w:rPr>
        <w:tab/>
      </w:r>
      <w:r w:rsidR="000677D9" w:rsidRPr="00A74402">
        <w:rPr>
          <w:rFonts w:ascii="Times New Roman" w:hAnsi="Times New Roman" w:cs="Times New Roman"/>
          <w:spacing w:val="-3"/>
          <w:sz w:val="24"/>
          <w:szCs w:val="24"/>
        </w:rPr>
        <w:t>Gabinete, Ministro de Obras Públicas, Santiago.</w:t>
      </w:r>
    </w:p>
    <w:p w14:paraId="79A3F32A" w14:textId="7206B294" w:rsidR="008E2972" w:rsidRPr="00A74402" w:rsidRDefault="008E2972" w:rsidP="000679FC">
      <w:pPr>
        <w:tabs>
          <w:tab w:val="left" w:pos="-720"/>
        </w:tabs>
        <w:suppressAutoHyphens/>
        <w:spacing w:line="240" w:lineRule="auto"/>
        <w:contextualSpacing/>
        <w:rPr>
          <w:rFonts w:ascii="Times New Roman" w:hAnsi="Times New Roman" w:cs="Times New Roman"/>
          <w:spacing w:val="-3"/>
          <w:sz w:val="24"/>
          <w:szCs w:val="24"/>
          <w:lang w:val="en-US"/>
        </w:rPr>
      </w:pPr>
      <w:r w:rsidRPr="00A74402">
        <w:rPr>
          <w:rFonts w:ascii="Times New Roman" w:hAnsi="Times New Roman" w:cs="Times New Roman"/>
          <w:spacing w:val="-3"/>
          <w:sz w:val="24"/>
          <w:szCs w:val="24"/>
          <w:lang w:val="en-US"/>
        </w:rPr>
        <w:t xml:space="preserve">Ostry, J., P. Loungani y D. Fourceri (2016), “Neoliberalism: Oversold?”, </w:t>
      </w:r>
      <w:r w:rsidR="00F848C8" w:rsidRPr="00A74402">
        <w:rPr>
          <w:rFonts w:ascii="Times New Roman" w:hAnsi="Times New Roman" w:cs="Times New Roman"/>
          <w:i/>
          <w:spacing w:val="-3"/>
          <w:sz w:val="24"/>
          <w:szCs w:val="24"/>
          <w:lang w:val="en-US"/>
        </w:rPr>
        <w:t>Finance &amp;</w:t>
      </w:r>
      <w:r w:rsidR="00F848C8" w:rsidRPr="00A74402">
        <w:rPr>
          <w:rFonts w:ascii="Times New Roman" w:hAnsi="Times New Roman" w:cs="Times New Roman"/>
          <w:i/>
          <w:spacing w:val="-3"/>
          <w:sz w:val="24"/>
          <w:szCs w:val="24"/>
          <w:lang w:val="en-US"/>
        </w:rPr>
        <w:tab/>
      </w:r>
      <w:r w:rsidRPr="00A74402">
        <w:rPr>
          <w:rFonts w:ascii="Times New Roman" w:hAnsi="Times New Roman" w:cs="Times New Roman"/>
          <w:i/>
          <w:spacing w:val="-3"/>
          <w:sz w:val="24"/>
          <w:szCs w:val="24"/>
          <w:lang w:val="en-US"/>
        </w:rPr>
        <w:t>Development</w:t>
      </w:r>
      <w:r w:rsidRPr="00A74402">
        <w:rPr>
          <w:rFonts w:ascii="Times New Roman" w:hAnsi="Times New Roman" w:cs="Times New Roman"/>
          <w:spacing w:val="-3"/>
          <w:sz w:val="24"/>
          <w:szCs w:val="24"/>
          <w:lang w:val="en-US"/>
        </w:rPr>
        <w:t xml:space="preserve">, </w:t>
      </w:r>
      <w:r w:rsidRPr="00A74402">
        <w:rPr>
          <w:rFonts w:ascii="Times New Roman" w:hAnsi="Times New Roman" w:cs="Times New Roman"/>
          <w:spacing w:val="-3"/>
          <w:sz w:val="24"/>
          <w:szCs w:val="24"/>
          <w:lang w:val="en-US"/>
        </w:rPr>
        <w:tab/>
        <w:t>IMF, junio.</w:t>
      </w:r>
    </w:p>
    <w:p w14:paraId="21B4838D" w14:textId="77777777" w:rsidR="008E2972" w:rsidRPr="00A74402" w:rsidRDefault="008E2972" w:rsidP="000679FC">
      <w:pPr>
        <w:tabs>
          <w:tab w:val="left" w:pos="-720"/>
        </w:tabs>
        <w:suppressAutoHyphens/>
        <w:spacing w:line="240" w:lineRule="auto"/>
        <w:contextualSpacing/>
        <w:rPr>
          <w:rFonts w:ascii="Times New Roman" w:hAnsi="Times New Roman" w:cs="Times New Roman"/>
          <w:spacing w:val="-3"/>
          <w:sz w:val="24"/>
          <w:szCs w:val="24"/>
          <w:lang w:val="en-GB"/>
        </w:rPr>
      </w:pPr>
      <w:r w:rsidRPr="00A74402">
        <w:rPr>
          <w:rFonts w:ascii="Times New Roman" w:hAnsi="Times New Roman" w:cs="Times New Roman"/>
          <w:spacing w:val="-3"/>
          <w:sz w:val="24"/>
          <w:szCs w:val="24"/>
          <w:lang w:val="en-GB"/>
        </w:rPr>
        <w:t xml:space="preserve">Rodrik, D. (2015), </w:t>
      </w:r>
      <w:r w:rsidRPr="00A74402">
        <w:rPr>
          <w:rFonts w:ascii="Times New Roman" w:hAnsi="Times New Roman" w:cs="Times New Roman"/>
          <w:i/>
          <w:spacing w:val="-3"/>
          <w:sz w:val="24"/>
          <w:szCs w:val="24"/>
          <w:lang w:val="en-GB"/>
        </w:rPr>
        <w:t>Economics rules</w:t>
      </w:r>
      <w:r w:rsidRPr="00A74402">
        <w:rPr>
          <w:rFonts w:ascii="Times New Roman" w:hAnsi="Times New Roman" w:cs="Times New Roman"/>
          <w:spacing w:val="-3"/>
          <w:sz w:val="24"/>
          <w:szCs w:val="24"/>
          <w:lang w:val="en-GB"/>
        </w:rPr>
        <w:t>, Norton, Nueva York.</w:t>
      </w:r>
    </w:p>
    <w:p w14:paraId="25278447" w14:textId="5965DC1D" w:rsidR="008E2972" w:rsidRPr="00A74402" w:rsidRDefault="008E2972" w:rsidP="000679FC">
      <w:pPr>
        <w:tabs>
          <w:tab w:val="left" w:pos="-720"/>
        </w:tabs>
        <w:suppressAutoHyphens/>
        <w:spacing w:line="240" w:lineRule="auto"/>
        <w:contextualSpacing/>
        <w:rPr>
          <w:rFonts w:ascii="Times New Roman" w:hAnsi="Times New Roman" w:cs="Times New Roman"/>
          <w:i/>
          <w:spacing w:val="-3"/>
          <w:sz w:val="24"/>
          <w:szCs w:val="24"/>
          <w:lang w:val="en-US"/>
        </w:rPr>
      </w:pPr>
      <w:r w:rsidRPr="00A74402">
        <w:rPr>
          <w:rFonts w:ascii="Times New Roman" w:hAnsi="Times New Roman" w:cs="Times New Roman"/>
          <w:spacing w:val="-3"/>
          <w:sz w:val="24"/>
          <w:szCs w:val="24"/>
          <w:lang w:val="en-US"/>
        </w:rPr>
        <w:t>Solow, R. (1956)</w:t>
      </w:r>
      <w:r w:rsidR="002D5EE7" w:rsidRPr="00A74402">
        <w:rPr>
          <w:rFonts w:ascii="Times New Roman" w:hAnsi="Times New Roman" w:cs="Times New Roman"/>
          <w:spacing w:val="-3"/>
          <w:sz w:val="24"/>
          <w:szCs w:val="24"/>
          <w:lang w:val="en-US"/>
        </w:rPr>
        <w:t>,</w:t>
      </w:r>
      <w:r w:rsidRPr="00A74402">
        <w:rPr>
          <w:rFonts w:ascii="Times New Roman" w:hAnsi="Times New Roman" w:cs="Times New Roman"/>
          <w:spacing w:val="-3"/>
          <w:sz w:val="24"/>
          <w:szCs w:val="24"/>
          <w:lang w:val="en-US"/>
        </w:rPr>
        <w:t xml:space="preserve"> “A contribution to the theory of economic growth”, </w:t>
      </w:r>
      <w:r w:rsidRPr="00A74402">
        <w:rPr>
          <w:rFonts w:ascii="Times New Roman" w:hAnsi="Times New Roman" w:cs="Times New Roman"/>
          <w:i/>
          <w:spacing w:val="-3"/>
          <w:sz w:val="24"/>
          <w:szCs w:val="24"/>
          <w:lang w:val="en-US"/>
        </w:rPr>
        <w:t xml:space="preserve">The Quarterly Journal of </w:t>
      </w:r>
    </w:p>
    <w:p w14:paraId="780A5947" w14:textId="30AC928C" w:rsidR="008E2972" w:rsidRPr="00A74402" w:rsidRDefault="008E2972" w:rsidP="000679FC">
      <w:pPr>
        <w:tabs>
          <w:tab w:val="left" w:pos="-720"/>
        </w:tabs>
        <w:suppressAutoHyphens/>
        <w:spacing w:line="240" w:lineRule="auto"/>
        <w:contextualSpacing/>
        <w:rPr>
          <w:rFonts w:ascii="Times New Roman" w:hAnsi="Times New Roman" w:cs="Times New Roman"/>
          <w:spacing w:val="-3"/>
          <w:sz w:val="24"/>
          <w:szCs w:val="24"/>
          <w:lang w:val="en-US"/>
        </w:rPr>
      </w:pPr>
      <w:r w:rsidRPr="00A74402">
        <w:rPr>
          <w:rFonts w:ascii="Times New Roman" w:hAnsi="Times New Roman" w:cs="Times New Roman"/>
          <w:i/>
          <w:spacing w:val="-3"/>
          <w:sz w:val="24"/>
          <w:szCs w:val="24"/>
          <w:lang w:val="en-US"/>
        </w:rPr>
        <w:tab/>
        <w:t>Economics</w:t>
      </w:r>
      <w:r w:rsidRPr="00A74402">
        <w:rPr>
          <w:rFonts w:ascii="Times New Roman" w:hAnsi="Times New Roman" w:cs="Times New Roman"/>
          <w:spacing w:val="-3"/>
          <w:sz w:val="24"/>
          <w:szCs w:val="24"/>
          <w:lang w:val="en-US"/>
        </w:rPr>
        <w:t>, Vol. 70, N° 1 (Feb. 1956), pgs. 65-94</w:t>
      </w:r>
      <w:r w:rsidR="0087280D" w:rsidRPr="00A74402">
        <w:rPr>
          <w:rFonts w:ascii="Times New Roman" w:hAnsi="Times New Roman" w:cs="Times New Roman"/>
          <w:spacing w:val="-3"/>
          <w:sz w:val="24"/>
          <w:szCs w:val="24"/>
          <w:lang w:val="en-US"/>
        </w:rPr>
        <w:t>.</w:t>
      </w:r>
    </w:p>
    <w:p w14:paraId="3B126144" w14:textId="77777777" w:rsidR="001F437C" w:rsidRPr="00A74402" w:rsidRDefault="00D938C5" w:rsidP="000679FC">
      <w:pPr>
        <w:pStyle w:val="Biblio"/>
        <w:tabs>
          <w:tab w:val="left" w:pos="426"/>
        </w:tabs>
        <w:spacing w:after="0"/>
        <w:ind w:left="426" w:hanging="426"/>
        <w:rPr>
          <w:rFonts w:ascii="Times New Roman" w:hAnsi="Times New Roman"/>
          <w:szCs w:val="24"/>
        </w:rPr>
      </w:pPr>
      <w:r w:rsidRPr="00A74402">
        <w:rPr>
          <w:rFonts w:ascii="Times New Roman" w:hAnsi="Times New Roman"/>
          <w:szCs w:val="24"/>
        </w:rPr>
        <w:t>Sotelsek, D. y L</w:t>
      </w:r>
      <w:r w:rsidR="00DD7B00" w:rsidRPr="00A74402">
        <w:rPr>
          <w:rFonts w:ascii="Times New Roman" w:hAnsi="Times New Roman"/>
          <w:szCs w:val="24"/>
        </w:rPr>
        <w:t>.</w:t>
      </w:r>
      <w:r w:rsidRPr="00A74402">
        <w:rPr>
          <w:rFonts w:ascii="Times New Roman" w:hAnsi="Times New Roman"/>
          <w:szCs w:val="24"/>
        </w:rPr>
        <w:t xml:space="preserve"> Laborda (2010), ”América Latina: Medición de la eficiencia productiva y </w:t>
      </w:r>
      <w:r w:rsidR="001F437C" w:rsidRPr="00A74402">
        <w:rPr>
          <w:rFonts w:ascii="Times New Roman" w:hAnsi="Times New Roman"/>
          <w:szCs w:val="24"/>
        </w:rPr>
        <w:t xml:space="preserve">  </w:t>
      </w:r>
    </w:p>
    <w:p w14:paraId="2E345FC4" w14:textId="6FAA7367" w:rsidR="00D938C5" w:rsidRPr="00A74402" w:rsidRDefault="001F437C" w:rsidP="000679FC">
      <w:pPr>
        <w:pStyle w:val="Biblio"/>
        <w:tabs>
          <w:tab w:val="left" w:pos="426"/>
        </w:tabs>
        <w:spacing w:after="0"/>
        <w:ind w:left="426" w:hanging="426"/>
        <w:rPr>
          <w:rFonts w:ascii="Times New Roman" w:hAnsi="Times New Roman"/>
          <w:szCs w:val="24"/>
        </w:rPr>
      </w:pPr>
      <w:r w:rsidRPr="00A74402">
        <w:rPr>
          <w:rFonts w:ascii="Times New Roman" w:hAnsi="Times New Roman"/>
          <w:szCs w:val="24"/>
        </w:rPr>
        <w:t xml:space="preserve">            </w:t>
      </w:r>
      <w:r w:rsidR="00D938C5" w:rsidRPr="00A74402">
        <w:rPr>
          <w:rFonts w:ascii="Times New Roman" w:hAnsi="Times New Roman"/>
          <w:szCs w:val="24"/>
        </w:rPr>
        <w:t xml:space="preserve">el cambio técnico incorporando factores ambientales”, </w:t>
      </w:r>
      <w:r w:rsidR="00D938C5" w:rsidRPr="00A74402">
        <w:rPr>
          <w:rFonts w:ascii="Times New Roman" w:hAnsi="Times New Roman"/>
          <w:i/>
          <w:szCs w:val="24"/>
        </w:rPr>
        <w:t xml:space="preserve">Revista CEPAL </w:t>
      </w:r>
      <w:r w:rsidR="00D938C5" w:rsidRPr="00A74402">
        <w:rPr>
          <w:rFonts w:ascii="Times New Roman" w:hAnsi="Times New Roman"/>
          <w:szCs w:val="24"/>
        </w:rPr>
        <w:t>101, agosto.</w:t>
      </w:r>
    </w:p>
    <w:p w14:paraId="13C5B599" w14:textId="70C74A4F" w:rsidR="0087280D" w:rsidRPr="00A74402" w:rsidRDefault="008E2972" w:rsidP="000679FC">
      <w:pPr>
        <w:pStyle w:val="Biblio"/>
        <w:tabs>
          <w:tab w:val="left" w:pos="426"/>
        </w:tabs>
        <w:spacing w:after="0"/>
        <w:ind w:left="426" w:hanging="426"/>
        <w:rPr>
          <w:rFonts w:ascii="Times New Roman" w:hAnsi="Times New Roman"/>
          <w:szCs w:val="24"/>
        </w:rPr>
      </w:pPr>
      <w:r w:rsidRPr="00A74402">
        <w:rPr>
          <w:rFonts w:ascii="Times New Roman" w:hAnsi="Times New Roman"/>
          <w:szCs w:val="24"/>
        </w:rPr>
        <w:t xml:space="preserve">Titelman, D. </w:t>
      </w:r>
      <w:r w:rsidR="00A41D9F" w:rsidRPr="00A74402">
        <w:rPr>
          <w:rFonts w:ascii="Times New Roman" w:eastAsia="Times New Roman" w:hAnsi="Times New Roman"/>
          <w:color w:val="222222"/>
          <w:szCs w:val="24"/>
          <w:lang w:eastAsia="es-CL"/>
        </w:rPr>
        <w:t xml:space="preserve"> y</w:t>
      </w:r>
      <w:r w:rsidRPr="00A74402">
        <w:rPr>
          <w:rFonts w:ascii="Times New Roman" w:eastAsia="Times New Roman" w:hAnsi="Times New Roman"/>
          <w:color w:val="222222"/>
          <w:szCs w:val="24"/>
          <w:lang w:eastAsia="es-CL"/>
        </w:rPr>
        <w:t xml:space="preserve"> E. Pérez</w:t>
      </w:r>
      <w:r w:rsidR="0087280D" w:rsidRPr="00A74402">
        <w:rPr>
          <w:rFonts w:ascii="Times New Roman" w:hAnsi="Times New Roman"/>
          <w:szCs w:val="24"/>
        </w:rPr>
        <w:t xml:space="preserve"> Caldentey (2015), “Macroeconom</w:t>
      </w:r>
      <w:r w:rsidR="00280509" w:rsidRPr="00A74402">
        <w:rPr>
          <w:rFonts w:ascii="Times New Roman" w:hAnsi="Times New Roman"/>
          <w:szCs w:val="24"/>
        </w:rPr>
        <w:t>í</w:t>
      </w:r>
      <w:r w:rsidR="0087280D" w:rsidRPr="00A74402">
        <w:rPr>
          <w:rFonts w:ascii="Times New Roman" w:hAnsi="Times New Roman"/>
          <w:szCs w:val="24"/>
        </w:rPr>
        <w:t xml:space="preserve">a for development in Latin America and the Caribbean”, en A. Bárcena </w:t>
      </w:r>
      <w:r w:rsidR="00280509" w:rsidRPr="00A74402">
        <w:rPr>
          <w:rFonts w:ascii="Times New Roman" w:hAnsi="Times New Roman"/>
          <w:szCs w:val="24"/>
        </w:rPr>
        <w:t>y</w:t>
      </w:r>
      <w:r w:rsidR="0087280D" w:rsidRPr="00A74402">
        <w:rPr>
          <w:rFonts w:ascii="Times New Roman" w:hAnsi="Times New Roman"/>
          <w:szCs w:val="24"/>
        </w:rPr>
        <w:t xml:space="preserve"> A. Prado (2016), eds., </w:t>
      </w:r>
      <w:r w:rsidR="0087280D" w:rsidRPr="00A74402">
        <w:rPr>
          <w:rFonts w:ascii="Times New Roman" w:hAnsi="Times New Roman"/>
          <w:i/>
          <w:szCs w:val="24"/>
        </w:rPr>
        <w:t xml:space="preserve">Neoestructuralismo y </w:t>
      </w:r>
      <w:r w:rsidR="00770EAE" w:rsidRPr="00A74402">
        <w:rPr>
          <w:rFonts w:ascii="Times New Roman" w:hAnsi="Times New Roman"/>
          <w:i/>
          <w:szCs w:val="24"/>
        </w:rPr>
        <w:t xml:space="preserve">pensamiento </w:t>
      </w:r>
      <w:r w:rsidR="0087280D" w:rsidRPr="00A74402">
        <w:rPr>
          <w:rFonts w:ascii="Times New Roman" w:hAnsi="Times New Roman"/>
          <w:i/>
          <w:szCs w:val="24"/>
        </w:rPr>
        <w:t>heterodo</w:t>
      </w:r>
      <w:r w:rsidR="00770EAE" w:rsidRPr="00A74402">
        <w:rPr>
          <w:rFonts w:ascii="Times New Roman" w:hAnsi="Times New Roman"/>
          <w:i/>
          <w:szCs w:val="24"/>
        </w:rPr>
        <w:t>jo e</w:t>
      </w:r>
      <w:r w:rsidR="0087280D" w:rsidRPr="00A74402">
        <w:rPr>
          <w:rFonts w:ascii="Times New Roman" w:hAnsi="Times New Roman"/>
          <w:i/>
          <w:szCs w:val="24"/>
        </w:rPr>
        <w:t xml:space="preserve">n </w:t>
      </w:r>
      <w:r w:rsidR="00770EAE" w:rsidRPr="00A74402">
        <w:rPr>
          <w:rFonts w:ascii="Times New Roman" w:hAnsi="Times New Roman"/>
          <w:i/>
          <w:szCs w:val="24"/>
        </w:rPr>
        <w:t xml:space="preserve">América </w:t>
      </w:r>
      <w:r w:rsidR="0087280D" w:rsidRPr="00A74402">
        <w:rPr>
          <w:rFonts w:ascii="Times New Roman" w:hAnsi="Times New Roman"/>
          <w:i/>
          <w:szCs w:val="24"/>
        </w:rPr>
        <w:t xml:space="preserve">Latina </w:t>
      </w:r>
      <w:r w:rsidR="00E70A8D" w:rsidRPr="00A74402">
        <w:rPr>
          <w:rFonts w:ascii="Times New Roman" w:hAnsi="Times New Roman"/>
          <w:i/>
          <w:szCs w:val="24"/>
        </w:rPr>
        <w:t>e</w:t>
      </w:r>
      <w:r w:rsidR="0087280D" w:rsidRPr="00A74402">
        <w:rPr>
          <w:rFonts w:ascii="Times New Roman" w:hAnsi="Times New Roman"/>
          <w:i/>
          <w:szCs w:val="24"/>
        </w:rPr>
        <w:t xml:space="preserve">n </w:t>
      </w:r>
      <w:r w:rsidR="00E70A8D" w:rsidRPr="00A74402">
        <w:rPr>
          <w:rFonts w:ascii="Times New Roman" w:hAnsi="Times New Roman"/>
          <w:i/>
          <w:szCs w:val="24"/>
        </w:rPr>
        <w:t>siglo</w:t>
      </w:r>
      <w:r w:rsidR="0087280D" w:rsidRPr="00A74402">
        <w:rPr>
          <w:rFonts w:ascii="Times New Roman" w:hAnsi="Times New Roman"/>
          <w:i/>
          <w:szCs w:val="24"/>
        </w:rPr>
        <w:t xml:space="preserve"> XXI, </w:t>
      </w:r>
      <w:r w:rsidR="00E70A8D" w:rsidRPr="00A74402">
        <w:rPr>
          <w:rFonts w:ascii="Times New Roman" w:hAnsi="Times New Roman"/>
          <w:szCs w:val="24"/>
        </w:rPr>
        <w:t>Libros de CEPAL,</w:t>
      </w:r>
      <w:r w:rsidR="0087280D" w:rsidRPr="00A74402">
        <w:rPr>
          <w:rFonts w:ascii="Times New Roman" w:hAnsi="Times New Roman"/>
          <w:szCs w:val="24"/>
        </w:rPr>
        <w:t>Santiago.</w:t>
      </w:r>
    </w:p>
    <w:p w14:paraId="19C1AC3B" w14:textId="238C0637" w:rsidR="00080B48" w:rsidRPr="00A74402" w:rsidRDefault="009D6657" w:rsidP="00080B48">
      <w:pPr>
        <w:pStyle w:val="Biblio"/>
        <w:tabs>
          <w:tab w:val="left" w:pos="426"/>
        </w:tabs>
        <w:ind w:left="426" w:hanging="426"/>
        <w:rPr>
          <w:rFonts w:ascii="Times New Roman" w:hAnsi="Times New Roman"/>
          <w:szCs w:val="24"/>
        </w:rPr>
      </w:pPr>
      <w:r w:rsidRPr="00A74402">
        <w:rPr>
          <w:rFonts w:ascii="Times New Roman" w:hAnsi="Times New Roman"/>
          <w:szCs w:val="24"/>
        </w:rPr>
        <w:t xml:space="preserve">Townley B. </w:t>
      </w:r>
      <w:r w:rsidR="00CB27E1" w:rsidRPr="00A74402">
        <w:rPr>
          <w:rFonts w:ascii="Times New Roman" w:hAnsi="Times New Roman"/>
          <w:i/>
          <w:szCs w:val="24"/>
        </w:rPr>
        <w:t>e</w:t>
      </w:r>
      <w:r w:rsidRPr="00A74402">
        <w:rPr>
          <w:rFonts w:ascii="Times New Roman" w:hAnsi="Times New Roman"/>
          <w:i/>
          <w:szCs w:val="24"/>
        </w:rPr>
        <w:t>t al</w:t>
      </w:r>
      <w:r w:rsidR="00CB27E1" w:rsidRPr="00A74402">
        <w:rPr>
          <w:rFonts w:ascii="Times New Roman" w:hAnsi="Times New Roman"/>
          <w:i/>
          <w:szCs w:val="24"/>
        </w:rPr>
        <w:t>.</w:t>
      </w:r>
      <w:r w:rsidRPr="00A74402">
        <w:rPr>
          <w:rFonts w:ascii="Times New Roman" w:hAnsi="Times New Roman"/>
          <w:szCs w:val="24"/>
        </w:rPr>
        <w:t xml:space="preserve"> (2017), ”</w:t>
      </w:r>
      <w:r w:rsidRPr="00A74402">
        <w:rPr>
          <w:rFonts w:ascii="Times New Roman" w:hAnsi="Times New Roman"/>
        </w:rPr>
        <w:t xml:space="preserve"> </w:t>
      </w:r>
      <w:r w:rsidRPr="00A74402">
        <w:rPr>
          <w:rFonts w:ascii="Times New Roman" w:hAnsi="Times New Roman"/>
          <w:szCs w:val="24"/>
        </w:rPr>
        <w:t>Recursos minerales por cobalto en Chile: potencial de exploración y explotación</w:t>
      </w:r>
      <w:r w:rsidR="001D74C6" w:rsidRPr="00A74402">
        <w:rPr>
          <w:rFonts w:ascii="Times New Roman" w:hAnsi="Times New Roman"/>
          <w:szCs w:val="24"/>
        </w:rPr>
        <w:t xml:space="preserve"> </w:t>
      </w:r>
      <w:r w:rsidRPr="00A74402">
        <w:rPr>
          <w:rFonts w:ascii="Times New Roman" w:hAnsi="Times New Roman"/>
          <w:szCs w:val="24"/>
        </w:rPr>
        <w:t>minera</w:t>
      </w:r>
      <w:r w:rsidR="001D74C6" w:rsidRPr="00A74402">
        <w:rPr>
          <w:rFonts w:ascii="Times New Roman" w:hAnsi="Times New Roman"/>
          <w:szCs w:val="24"/>
        </w:rPr>
        <w:t xml:space="preserve">”, CORFO-Comité Minería No Metálica, Sernageomín, </w:t>
      </w:r>
      <w:hyperlink r:id="rId11" w:history="1">
        <w:r w:rsidR="00080B48" w:rsidRPr="00A74402">
          <w:rPr>
            <w:rStyle w:val="Hipervnculo"/>
            <w:rFonts w:ascii="Times New Roman" w:hAnsi="Times New Roman"/>
            <w:szCs w:val="24"/>
          </w:rPr>
          <w:t>file:///C:/Users/portatil/Downloads/PotentialCobaltResources-Chile_vEspanol.pdf</w:t>
        </w:r>
      </w:hyperlink>
    </w:p>
    <w:p w14:paraId="169EE460" w14:textId="35F91DB0" w:rsidR="000A403C" w:rsidRPr="00A74402" w:rsidRDefault="008E2972" w:rsidP="00080B48">
      <w:pPr>
        <w:pStyle w:val="Biblio"/>
        <w:tabs>
          <w:tab w:val="left" w:pos="426"/>
        </w:tabs>
        <w:ind w:left="426" w:hanging="426"/>
        <w:rPr>
          <w:rFonts w:ascii="Times New Roman" w:hAnsi="Times New Roman"/>
          <w:szCs w:val="24"/>
        </w:rPr>
      </w:pPr>
      <w:r w:rsidRPr="00A74402">
        <w:rPr>
          <w:rFonts w:ascii="Times New Roman" w:hAnsi="Times New Roman"/>
          <w:szCs w:val="24"/>
        </w:rPr>
        <w:t xml:space="preserve">Yanyan, Z. </w:t>
      </w:r>
      <w:r w:rsidR="00AC007C" w:rsidRPr="00A74402">
        <w:rPr>
          <w:rFonts w:ascii="Times New Roman" w:hAnsi="Times New Roman"/>
          <w:i/>
          <w:szCs w:val="24"/>
        </w:rPr>
        <w:t>et al.</w:t>
      </w:r>
      <w:r w:rsidRPr="00A74402">
        <w:rPr>
          <w:rFonts w:ascii="Times New Roman" w:hAnsi="Times New Roman"/>
          <w:szCs w:val="24"/>
        </w:rPr>
        <w:t xml:space="preserve">  (2013), “Future Internet Bandwidths trends: an investigation on current </w:t>
      </w:r>
    </w:p>
    <w:p w14:paraId="67F91308" w14:textId="77777777" w:rsidR="00280509" w:rsidRPr="00A74402" w:rsidRDefault="000A403C" w:rsidP="000679FC">
      <w:pPr>
        <w:autoSpaceDE w:val="0"/>
        <w:autoSpaceDN w:val="0"/>
        <w:adjustRightInd w:val="0"/>
        <w:spacing w:line="240" w:lineRule="auto"/>
        <w:ind w:firstLine="708"/>
        <w:rPr>
          <w:rFonts w:ascii="Times New Roman" w:hAnsi="Times New Roman" w:cs="Times New Roman"/>
          <w:sz w:val="24"/>
          <w:szCs w:val="24"/>
          <w:lang w:val="en-US"/>
        </w:rPr>
      </w:pPr>
      <w:r w:rsidRPr="00A74402">
        <w:rPr>
          <w:rFonts w:ascii="Times New Roman" w:hAnsi="Times New Roman" w:cs="Times New Roman"/>
          <w:sz w:val="24"/>
          <w:szCs w:val="24"/>
          <w:lang w:val="fi-FI"/>
        </w:rPr>
        <w:t>a</w:t>
      </w:r>
      <w:r w:rsidR="008E2972" w:rsidRPr="00A74402">
        <w:rPr>
          <w:rFonts w:ascii="Times New Roman" w:hAnsi="Times New Roman" w:cs="Times New Roman"/>
          <w:sz w:val="24"/>
          <w:szCs w:val="24"/>
          <w:lang w:val="fi-FI"/>
        </w:rPr>
        <w:t>nd</w:t>
      </w:r>
      <w:r w:rsidRPr="00A74402">
        <w:rPr>
          <w:rFonts w:ascii="Times New Roman" w:hAnsi="Times New Roman" w:cs="Times New Roman"/>
          <w:sz w:val="24"/>
          <w:szCs w:val="24"/>
          <w:lang w:val="fi-FI"/>
        </w:rPr>
        <w:t xml:space="preserve"> </w:t>
      </w:r>
      <w:r w:rsidR="008E2972" w:rsidRPr="00A74402">
        <w:rPr>
          <w:rFonts w:ascii="Times New Roman" w:hAnsi="Times New Roman" w:cs="Times New Roman"/>
          <w:sz w:val="24"/>
          <w:szCs w:val="24"/>
          <w:lang w:val="fi-FI"/>
        </w:rPr>
        <w:t>disruptive technologies”, Tech</w:t>
      </w:r>
      <w:r w:rsidR="008E2972" w:rsidRPr="00A74402">
        <w:rPr>
          <w:rFonts w:ascii="Times New Roman" w:hAnsi="Times New Roman" w:cs="Times New Roman"/>
          <w:sz w:val="24"/>
          <w:szCs w:val="24"/>
          <w:lang w:val="en-US"/>
        </w:rPr>
        <w:t xml:space="preserve">nical Report No. TR-CSE-2013-04, Department of </w:t>
      </w:r>
    </w:p>
    <w:p w14:paraId="2C5C3898" w14:textId="595C0E1E" w:rsidR="008E2972" w:rsidRPr="00A74402" w:rsidRDefault="008E2972" w:rsidP="000679FC">
      <w:pPr>
        <w:autoSpaceDE w:val="0"/>
        <w:autoSpaceDN w:val="0"/>
        <w:adjustRightInd w:val="0"/>
        <w:spacing w:line="240" w:lineRule="auto"/>
        <w:ind w:left="708"/>
        <w:rPr>
          <w:rFonts w:ascii="Times New Roman" w:hAnsi="Times New Roman" w:cs="Times New Roman"/>
          <w:sz w:val="24"/>
          <w:szCs w:val="24"/>
          <w:lang w:val="en-US"/>
        </w:rPr>
      </w:pPr>
      <w:r w:rsidRPr="00A74402">
        <w:rPr>
          <w:rFonts w:ascii="Times New Roman" w:hAnsi="Times New Roman" w:cs="Times New Roman"/>
          <w:sz w:val="24"/>
          <w:szCs w:val="24"/>
          <w:lang w:val="en-US"/>
        </w:rPr>
        <w:t>Computer and Engineering, Polytechnics School of Engineering, New York University.</w:t>
      </w:r>
    </w:p>
    <w:p w14:paraId="0658465E" w14:textId="77777777" w:rsidR="00195088" w:rsidRPr="00A74402" w:rsidRDefault="00195088" w:rsidP="00E614B4">
      <w:pPr>
        <w:spacing w:line="240" w:lineRule="auto"/>
        <w:jc w:val="center"/>
        <w:rPr>
          <w:rFonts w:ascii="Times New Roman" w:hAnsi="Times New Roman" w:cs="Times New Roman"/>
          <w:sz w:val="24"/>
          <w:szCs w:val="24"/>
          <w:lang w:val="en-US"/>
        </w:rPr>
      </w:pPr>
    </w:p>
    <w:p w14:paraId="4242233B" w14:textId="6F4B2C0C" w:rsidR="00624D99" w:rsidRPr="00A74402" w:rsidRDefault="00080B48" w:rsidP="00E239CD">
      <w:pPr>
        <w:rPr>
          <w:rFonts w:ascii="Times New Roman" w:hAnsi="Times New Roman" w:cs="Times New Roman"/>
          <w:color w:val="FF0000"/>
          <w:sz w:val="24"/>
          <w:szCs w:val="24"/>
        </w:rPr>
      </w:pPr>
      <w:r w:rsidRPr="00F9254B">
        <w:rPr>
          <w:rFonts w:ascii="Times New Roman" w:hAnsi="Times New Roman" w:cs="Times New Roman"/>
          <w:b/>
          <w:sz w:val="24"/>
          <w:szCs w:val="24"/>
        </w:rPr>
        <w:br w:type="page"/>
      </w:r>
      <w:r w:rsidR="00624D99" w:rsidRPr="00A74402">
        <w:rPr>
          <w:rFonts w:ascii="Times New Roman" w:hAnsi="Times New Roman" w:cs="Times New Roman"/>
          <w:b/>
          <w:sz w:val="24"/>
          <w:szCs w:val="24"/>
          <w:lang w:val="es-ES_tradnl"/>
        </w:rPr>
        <w:t>Cuadro 1. Formación bruta de capital fijo</w:t>
      </w:r>
      <w:r w:rsidR="008604C9" w:rsidRPr="00A74402">
        <w:rPr>
          <w:rFonts w:ascii="Times New Roman" w:hAnsi="Times New Roman" w:cs="Times New Roman"/>
          <w:b/>
          <w:sz w:val="24"/>
          <w:szCs w:val="24"/>
          <w:lang w:val="es-ES_tradnl"/>
        </w:rPr>
        <w:t xml:space="preserve"> y crecimiento del PIB</w:t>
      </w:r>
      <w:r w:rsidR="00624D99" w:rsidRPr="00A74402">
        <w:rPr>
          <w:rFonts w:ascii="Times New Roman" w:hAnsi="Times New Roman" w:cs="Times New Roman"/>
          <w:b/>
          <w:sz w:val="24"/>
          <w:szCs w:val="24"/>
          <w:lang w:val="es-ES_tradnl"/>
        </w:rPr>
        <w:t>, 1974-2017</w:t>
      </w:r>
    </w:p>
    <w:p w14:paraId="7E4E6652" w14:textId="00E202C3" w:rsidR="00624D99" w:rsidRPr="00A74402" w:rsidRDefault="00624D99" w:rsidP="00624D99">
      <w:pPr>
        <w:spacing w:line="240" w:lineRule="auto"/>
        <w:jc w:val="center"/>
        <w:rPr>
          <w:rFonts w:ascii="Times New Roman" w:hAnsi="Times New Roman" w:cs="Times New Roman"/>
          <w:sz w:val="24"/>
          <w:szCs w:val="24"/>
          <w:lang w:val="es-ES_tradnl"/>
        </w:rPr>
      </w:pPr>
      <w:r w:rsidRPr="00A74402">
        <w:rPr>
          <w:rFonts w:ascii="Times New Roman" w:hAnsi="Times New Roman" w:cs="Times New Roman"/>
          <w:lang w:val="es-ES_tradnl"/>
        </w:rPr>
        <w:t xml:space="preserve"> </w:t>
      </w:r>
      <w:r w:rsidRPr="00A74402">
        <w:rPr>
          <w:rFonts w:ascii="Times New Roman" w:hAnsi="Times New Roman" w:cs="Times New Roman"/>
          <w:sz w:val="24"/>
          <w:szCs w:val="24"/>
          <w:lang w:val="es-ES_tradnl"/>
        </w:rPr>
        <w:t>(</w:t>
      </w:r>
      <w:r w:rsidR="00EF6AD2" w:rsidRPr="00A74402">
        <w:rPr>
          <w:rFonts w:ascii="Times New Roman" w:hAnsi="Times New Roman" w:cs="Times New Roman"/>
          <w:sz w:val="24"/>
          <w:szCs w:val="24"/>
          <w:lang w:val="es-ES_tradnl"/>
        </w:rPr>
        <w:t xml:space="preserve">a </w:t>
      </w:r>
      <w:r w:rsidRPr="00A74402">
        <w:rPr>
          <w:rFonts w:ascii="Times New Roman" w:hAnsi="Times New Roman" w:cs="Times New Roman"/>
          <w:sz w:val="24"/>
          <w:szCs w:val="24"/>
          <w:lang w:val="es-ES_tradnl"/>
        </w:rPr>
        <w:t xml:space="preserve">precios corrientes, salvo col. (4), %) </w:t>
      </w:r>
    </w:p>
    <w:p w14:paraId="2CD3F72A" w14:textId="72307DB9" w:rsidR="00195088" w:rsidRPr="00A74402" w:rsidRDefault="00565201" w:rsidP="006103FA">
      <w:pPr>
        <w:spacing w:line="240" w:lineRule="auto"/>
        <w:ind w:left="288" w:right="144"/>
        <w:rPr>
          <w:rFonts w:ascii="Times New Roman" w:eastAsia="Times New Roman" w:hAnsi="Times New Roman" w:cs="Times New Roman"/>
          <w:color w:val="000000"/>
          <w:sz w:val="20"/>
          <w:szCs w:val="20"/>
          <w:lang w:val="es-ES_tradnl"/>
        </w:rPr>
      </w:pPr>
      <w:r w:rsidRPr="00A74402">
        <w:rPr>
          <w:rFonts w:ascii="Times New Roman" w:hAnsi="Times New Roman" w:cs="Times New Roman"/>
          <w:b/>
          <w:sz w:val="20"/>
          <w:szCs w:val="20"/>
          <w:lang w:val="es-ES_tradnl"/>
        </w:rPr>
        <w:t>Fuentes:</w:t>
      </w:r>
      <w:r w:rsidRPr="00A74402">
        <w:rPr>
          <w:rFonts w:ascii="Times New Roman" w:hAnsi="Times New Roman" w:cs="Times New Roman"/>
          <w:sz w:val="20"/>
          <w:szCs w:val="20"/>
          <w:lang w:val="es-ES_tradnl"/>
        </w:rPr>
        <w:t xml:space="preserve"> </w:t>
      </w:r>
      <w:r w:rsidRPr="00A74402">
        <w:rPr>
          <w:rFonts w:ascii="Times New Roman" w:eastAsia="Times New Roman" w:hAnsi="Times New Roman" w:cs="Times New Roman"/>
          <w:color w:val="000000"/>
          <w:sz w:val="20"/>
          <w:szCs w:val="20"/>
          <w:lang w:val="es-ES_tradnl"/>
        </w:rPr>
        <w:t xml:space="preserve">Basado en Cuentas Nacionales del Banco Central. Columna (1) en serie de referencia 2013. Columnas (2) y (3) en serie 2013 </w:t>
      </w:r>
      <w:r w:rsidR="003A4C29" w:rsidRPr="00A74402">
        <w:rPr>
          <w:rFonts w:ascii="Times New Roman" w:eastAsia="Times New Roman" w:hAnsi="Times New Roman" w:cs="Times New Roman"/>
          <w:color w:val="000000"/>
          <w:sz w:val="20"/>
          <w:szCs w:val="20"/>
          <w:lang w:val="es-ES_tradnl"/>
        </w:rPr>
        <w:t xml:space="preserve">disponible </w:t>
      </w:r>
      <w:r w:rsidRPr="00A74402">
        <w:rPr>
          <w:rFonts w:ascii="Times New Roman" w:eastAsia="Times New Roman" w:hAnsi="Times New Roman" w:cs="Times New Roman"/>
          <w:color w:val="000000"/>
          <w:sz w:val="20"/>
          <w:szCs w:val="20"/>
          <w:lang w:val="es-ES_tradnl"/>
        </w:rPr>
        <w:t xml:space="preserve">hasta 2008 inclusive; se realiza un empalme hacia atrás desde 2007 con la serie 2003. Para la columna (4) desde 1974 hasta 2005 se usó la serie del Banco Central a </w:t>
      </w:r>
    </w:p>
    <w:tbl>
      <w:tblPr>
        <w:tblpPr w:leftFromText="180" w:rightFromText="180" w:vertAnchor="page" w:horzAnchor="page" w:tblpX="1990" w:tblpY="1985"/>
        <w:tblW w:w="8353" w:type="dxa"/>
        <w:tblLayout w:type="fixed"/>
        <w:tblLook w:val="04A0" w:firstRow="1" w:lastRow="0" w:firstColumn="1" w:lastColumn="0" w:noHBand="0" w:noVBand="1"/>
      </w:tblPr>
      <w:tblGrid>
        <w:gridCol w:w="1924"/>
        <w:gridCol w:w="1607"/>
        <w:gridCol w:w="1607"/>
        <w:gridCol w:w="1808"/>
        <w:gridCol w:w="1407"/>
      </w:tblGrid>
      <w:tr w:rsidR="00195088" w:rsidRPr="00A74402" w14:paraId="70F093F2" w14:textId="77777777" w:rsidTr="0035054D">
        <w:trPr>
          <w:trHeight w:val="562"/>
        </w:trPr>
        <w:tc>
          <w:tcPr>
            <w:tcW w:w="1924" w:type="dxa"/>
            <w:tcBorders>
              <w:top w:val="single" w:sz="4" w:space="0" w:color="auto"/>
              <w:bottom w:val="single" w:sz="4" w:space="0" w:color="auto"/>
            </w:tcBorders>
            <w:shd w:val="clear" w:color="auto" w:fill="F2F2F2" w:themeFill="background1" w:themeFillShade="F2"/>
            <w:noWrap/>
            <w:vAlign w:val="center"/>
            <w:hideMark/>
          </w:tcPr>
          <w:p w14:paraId="5ABDDB73" w14:textId="77777777" w:rsidR="00195088" w:rsidRPr="00A74402" w:rsidRDefault="00195088" w:rsidP="000D4256">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Períodos</w:t>
            </w:r>
          </w:p>
        </w:tc>
        <w:tc>
          <w:tcPr>
            <w:tcW w:w="1607" w:type="dxa"/>
            <w:tcBorders>
              <w:top w:val="single" w:sz="4" w:space="0" w:color="auto"/>
              <w:bottom w:val="single" w:sz="4" w:space="0" w:color="auto"/>
            </w:tcBorders>
            <w:shd w:val="clear" w:color="auto" w:fill="F2F2F2" w:themeFill="background1" w:themeFillShade="F2"/>
            <w:noWrap/>
            <w:vAlign w:val="center"/>
            <w:hideMark/>
          </w:tcPr>
          <w:p w14:paraId="4098B8C6" w14:textId="77777777" w:rsidR="00195088" w:rsidRPr="00A74402" w:rsidRDefault="00195088" w:rsidP="000D4256">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FBKF (% PIB)</w:t>
            </w:r>
          </w:p>
        </w:tc>
        <w:tc>
          <w:tcPr>
            <w:tcW w:w="1607" w:type="dxa"/>
            <w:tcBorders>
              <w:top w:val="single" w:sz="4" w:space="0" w:color="auto"/>
              <w:bottom w:val="single" w:sz="4" w:space="0" w:color="auto"/>
            </w:tcBorders>
            <w:shd w:val="clear" w:color="auto" w:fill="F2F2F2" w:themeFill="background1" w:themeFillShade="F2"/>
            <w:noWrap/>
            <w:vAlign w:val="center"/>
            <w:hideMark/>
          </w:tcPr>
          <w:p w14:paraId="3DF55048" w14:textId="77777777" w:rsidR="00195088" w:rsidRPr="00A74402" w:rsidRDefault="00195088" w:rsidP="000D4256">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FBKF minería (% FBKF)</w:t>
            </w:r>
          </w:p>
        </w:tc>
        <w:tc>
          <w:tcPr>
            <w:tcW w:w="1808" w:type="dxa"/>
            <w:tcBorders>
              <w:top w:val="single" w:sz="4" w:space="0" w:color="auto"/>
              <w:bottom w:val="single" w:sz="4" w:space="0" w:color="auto"/>
            </w:tcBorders>
            <w:shd w:val="clear" w:color="auto" w:fill="F2F2F2" w:themeFill="background1" w:themeFillShade="F2"/>
            <w:vAlign w:val="center"/>
          </w:tcPr>
          <w:p w14:paraId="0715B785" w14:textId="77777777" w:rsidR="00195088" w:rsidRPr="00A74402" w:rsidRDefault="00195088" w:rsidP="000D4256">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FBKF no minería (% FBKF)</w:t>
            </w:r>
          </w:p>
        </w:tc>
        <w:tc>
          <w:tcPr>
            <w:tcW w:w="1407" w:type="dxa"/>
            <w:tcBorders>
              <w:top w:val="single" w:sz="4" w:space="0" w:color="auto"/>
              <w:bottom w:val="single" w:sz="4" w:space="0" w:color="auto"/>
            </w:tcBorders>
            <w:shd w:val="clear" w:color="auto" w:fill="F2F2F2" w:themeFill="background1" w:themeFillShade="F2"/>
            <w:vAlign w:val="center"/>
          </w:tcPr>
          <w:p w14:paraId="672E293A" w14:textId="77777777" w:rsidR="00195088" w:rsidRPr="00A74402" w:rsidRDefault="00195088" w:rsidP="000D4256">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Crecimiento PIB</w:t>
            </w:r>
          </w:p>
        </w:tc>
      </w:tr>
      <w:tr w:rsidR="00195088" w:rsidRPr="00A74402" w14:paraId="26E627AA" w14:textId="77777777" w:rsidTr="00D0455C">
        <w:trPr>
          <w:trHeight w:val="283"/>
        </w:trPr>
        <w:tc>
          <w:tcPr>
            <w:tcW w:w="1924" w:type="dxa"/>
            <w:tcBorders>
              <w:top w:val="single" w:sz="4" w:space="0" w:color="auto"/>
              <w:bottom w:val="single" w:sz="4" w:space="0" w:color="auto"/>
            </w:tcBorders>
            <w:shd w:val="clear" w:color="auto" w:fill="F2F2F2" w:themeFill="background1" w:themeFillShade="F2"/>
            <w:noWrap/>
            <w:vAlign w:val="center"/>
          </w:tcPr>
          <w:p w14:paraId="5868B11C" w14:textId="77777777" w:rsidR="00195088" w:rsidRPr="00A74402" w:rsidRDefault="00195088" w:rsidP="000D4256">
            <w:pPr>
              <w:spacing w:line="240" w:lineRule="auto"/>
              <w:jc w:val="center"/>
              <w:rPr>
                <w:rFonts w:ascii="Times New Roman" w:eastAsia="Times New Roman" w:hAnsi="Times New Roman" w:cs="Times New Roman"/>
                <w:color w:val="000000"/>
                <w:lang w:val="es-ES_tradnl"/>
              </w:rPr>
            </w:pPr>
          </w:p>
        </w:tc>
        <w:tc>
          <w:tcPr>
            <w:tcW w:w="1607" w:type="dxa"/>
            <w:tcBorders>
              <w:top w:val="single" w:sz="4" w:space="0" w:color="auto"/>
              <w:bottom w:val="single" w:sz="4" w:space="0" w:color="auto"/>
            </w:tcBorders>
            <w:shd w:val="clear" w:color="auto" w:fill="F2F2F2" w:themeFill="background1" w:themeFillShade="F2"/>
            <w:noWrap/>
            <w:vAlign w:val="center"/>
          </w:tcPr>
          <w:p w14:paraId="435F654D" w14:textId="77777777" w:rsidR="00195088" w:rsidRPr="00A74402" w:rsidRDefault="00195088" w:rsidP="000D4256">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(1)</w:t>
            </w:r>
          </w:p>
        </w:tc>
        <w:tc>
          <w:tcPr>
            <w:tcW w:w="1607" w:type="dxa"/>
            <w:tcBorders>
              <w:top w:val="single" w:sz="4" w:space="0" w:color="auto"/>
              <w:bottom w:val="single" w:sz="4" w:space="0" w:color="auto"/>
            </w:tcBorders>
            <w:shd w:val="clear" w:color="auto" w:fill="F2F2F2" w:themeFill="background1" w:themeFillShade="F2"/>
            <w:noWrap/>
            <w:vAlign w:val="center"/>
          </w:tcPr>
          <w:p w14:paraId="3DBE048D" w14:textId="77777777" w:rsidR="00195088" w:rsidRPr="00A74402" w:rsidRDefault="00195088" w:rsidP="000D4256">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(2)</w:t>
            </w:r>
          </w:p>
        </w:tc>
        <w:tc>
          <w:tcPr>
            <w:tcW w:w="1808" w:type="dxa"/>
            <w:tcBorders>
              <w:top w:val="single" w:sz="4" w:space="0" w:color="auto"/>
              <w:bottom w:val="single" w:sz="4" w:space="0" w:color="auto"/>
            </w:tcBorders>
            <w:shd w:val="clear" w:color="auto" w:fill="F2F2F2" w:themeFill="background1" w:themeFillShade="F2"/>
            <w:vAlign w:val="center"/>
          </w:tcPr>
          <w:p w14:paraId="3DC17D4C" w14:textId="77777777" w:rsidR="00195088" w:rsidRPr="00A74402" w:rsidRDefault="00195088" w:rsidP="000D4256">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(3)</w:t>
            </w:r>
          </w:p>
        </w:tc>
        <w:tc>
          <w:tcPr>
            <w:tcW w:w="1407" w:type="dxa"/>
            <w:tcBorders>
              <w:top w:val="single" w:sz="4" w:space="0" w:color="auto"/>
              <w:bottom w:val="single" w:sz="4" w:space="0" w:color="auto"/>
            </w:tcBorders>
            <w:shd w:val="clear" w:color="auto" w:fill="F2F2F2" w:themeFill="background1" w:themeFillShade="F2"/>
            <w:vAlign w:val="center"/>
          </w:tcPr>
          <w:p w14:paraId="42F0B1EA" w14:textId="77777777" w:rsidR="00195088" w:rsidRPr="00A74402" w:rsidRDefault="00195088" w:rsidP="000D4256">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(4)</w:t>
            </w:r>
          </w:p>
        </w:tc>
      </w:tr>
      <w:tr w:rsidR="00195088" w:rsidRPr="00A74402" w14:paraId="1BE9AB14" w14:textId="77777777" w:rsidTr="00195088">
        <w:trPr>
          <w:trHeight w:val="257"/>
        </w:trPr>
        <w:tc>
          <w:tcPr>
            <w:tcW w:w="1924" w:type="dxa"/>
            <w:tcBorders>
              <w:top w:val="single" w:sz="4" w:space="0" w:color="auto"/>
              <w:bottom w:val="nil"/>
            </w:tcBorders>
            <w:shd w:val="clear" w:color="auto" w:fill="auto"/>
            <w:noWrap/>
            <w:vAlign w:val="center"/>
            <w:hideMark/>
          </w:tcPr>
          <w:p w14:paraId="668C6D70"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1974-89</w:t>
            </w:r>
          </w:p>
        </w:tc>
        <w:tc>
          <w:tcPr>
            <w:tcW w:w="1607" w:type="dxa"/>
            <w:tcBorders>
              <w:top w:val="single" w:sz="4" w:space="0" w:color="auto"/>
              <w:bottom w:val="nil"/>
            </w:tcBorders>
            <w:shd w:val="clear" w:color="auto" w:fill="auto"/>
            <w:noWrap/>
            <w:vAlign w:val="center"/>
            <w:hideMark/>
          </w:tcPr>
          <w:p w14:paraId="344F42DF"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17,3</w:t>
            </w:r>
          </w:p>
        </w:tc>
        <w:tc>
          <w:tcPr>
            <w:tcW w:w="1607" w:type="dxa"/>
            <w:tcBorders>
              <w:top w:val="single" w:sz="4" w:space="0" w:color="auto"/>
              <w:bottom w:val="nil"/>
            </w:tcBorders>
            <w:shd w:val="clear" w:color="auto" w:fill="auto"/>
            <w:noWrap/>
            <w:vAlign w:val="center"/>
            <w:hideMark/>
          </w:tcPr>
          <w:p w14:paraId="5FC52F0A"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w:t>
            </w:r>
          </w:p>
        </w:tc>
        <w:tc>
          <w:tcPr>
            <w:tcW w:w="1808" w:type="dxa"/>
            <w:tcBorders>
              <w:top w:val="single" w:sz="4" w:space="0" w:color="auto"/>
              <w:bottom w:val="nil"/>
            </w:tcBorders>
            <w:vAlign w:val="center"/>
          </w:tcPr>
          <w:p w14:paraId="2AAA7E28"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w:t>
            </w:r>
          </w:p>
        </w:tc>
        <w:tc>
          <w:tcPr>
            <w:tcW w:w="1407" w:type="dxa"/>
            <w:tcBorders>
              <w:top w:val="single" w:sz="4" w:space="0" w:color="auto"/>
              <w:bottom w:val="nil"/>
            </w:tcBorders>
            <w:vAlign w:val="center"/>
          </w:tcPr>
          <w:p w14:paraId="69B6911B"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2,9</w:t>
            </w:r>
          </w:p>
        </w:tc>
      </w:tr>
      <w:tr w:rsidR="00195088" w:rsidRPr="00A74402" w14:paraId="64C03D03" w14:textId="77777777" w:rsidTr="00195088">
        <w:trPr>
          <w:trHeight w:val="257"/>
        </w:trPr>
        <w:tc>
          <w:tcPr>
            <w:tcW w:w="1924" w:type="dxa"/>
            <w:tcBorders>
              <w:top w:val="nil"/>
              <w:bottom w:val="nil"/>
            </w:tcBorders>
            <w:shd w:val="clear" w:color="auto" w:fill="auto"/>
            <w:noWrap/>
            <w:vAlign w:val="center"/>
            <w:hideMark/>
          </w:tcPr>
          <w:p w14:paraId="6E54D1D0"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1990-98</w:t>
            </w:r>
          </w:p>
        </w:tc>
        <w:tc>
          <w:tcPr>
            <w:tcW w:w="1607" w:type="dxa"/>
            <w:tcBorders>
              <w:top w:val="nil"/>
              <w:bottom w:val="nil"/>
            </w:tcBorders>
            <w:shd w:val="clear" w:color="auto" w:fill="auto"/>
            <w:noWrap/>
            <w:vAlign w:val="center"/>
            <w:hideMark/>
          </w:tcPr>
          <w:p w14:paraId="47021791"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25,2</w:t>
            </w:r>
          </w:p>
        </w:tc>
        <w:tc>
          <w:tcPr>
            <w:tcW w:w="1607" w:type="dxa"/>
            <w:tcBorders>
              <w:top w:val="nil"/>
              <w:bottom w:val="nil"/>
            </w:tcBorders>
            <w:shd w:val="clear" w:color="auto" w:fill="auto"/>
            <w:noWrap/>
            <w:vAlign w:val="center"/>
            <w:hideMark/>
          </w:tcPr>
          <w:p w14:paraId="364EEB05"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w:t>
            </w:r>
          </w:p>
        </w:tc>
        <w:tc>
          <w:tcPr>
            <w:tcW w:w="1808" w:type="dxa"/>
            <w:tcBorders>
              <w:top w:val="nil"/>
              <w:bottom w:val="nil"/>
            </w:tcBorders>
            <w:vAlign w:val="center"/>
          </w:tcPr>
          <w:p w14:paraId="0C9AF463"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w:t>
            </w:r>
          </w:p>
        </w:tc>
        <w:tc>
          <w:tcPr>
            <w:tcW w:w="1407" w:type="dxa"/>
            <w:tcBorders>
              <w:top w:val="nil"/>
              <w:bottom w:val="nil"/>
            </w:tcBorders>
            <w:vAlign w:val="center"/>
          </w:tcPr>
          <w:p w14:paraId="2F9E3E13"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7,1</w:t>
            </w:r>
          </w:p>
        </w:tc>
      </w:tr>
      <w:tr w:rsidR="00195088" w:rsidRPr="00A74402" w14:paraId="694E257E" w14:textId="77777777" w:rsidTr="00195088">
        <w:trPr>
          <w:trHeight w:val="257"/>
        </w:trPr>
        <w:tc>
          <w:tcPr>
            <w:tcW w:w="1924" w:type="dxa"/>
            <w:tcBorders>
              <w:top w:val="nil"/>
              <w:bottom w:val="nil"/>
            </w:tcBorders>
            <w:shd w:val="clear" w:color="auto" w:fill="auto"/>
            <w:noWrap/>
            <w:vAlign w:val="center"/>
            <w:hideMark/>
          </w:tcPr>
          <w:p w14:paraId="3DF17B53"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1999-03</w:t>
            </w:r>
          </w:p>
        </w:tc>
        <w:tc>
          <w:tcPr>
            <w:tcW w:w="1607" w:type="dxa"/>
            <w:tcBorders>
              <w:top w:val="nil"/>
              <w:bottom w:val="nil"/>
            </w:tcBorders>
            <w:shd w:val="clear" w:color="auto" w:fill="auto"/>
            <w:noWrap/>
            <w:vAlign w:val="center"/>
            <w:hideMark/>
          </w:tcPr>
          <w:p w14:paraId="7414F3D2"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21,3</w:t>
            </w:r>
          </w:p>
        </w:tc>
        <w:tc>
          <w:tcPr>
            <w:tcW w:w="1607" w:type="dxa"/>
            <w:tcBorders>
              <w:top w:val="nil"/>
              <w:bottom w:val="nil"/>
            </w:tcBorders>
            <w:shd w:val="clear" w:color="auto" w:fill="auto"/>
            <w:noWrap/>
            <w:vAlign w:val="center"/>
            <w:hideMark/>
          </w:tcPr>
          <w:p w14:paraId="62DAA2DE"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w:t>
            </w:r>
          </w:p>
        </w:tc>
        <w:tc>
          <w:tcPr>
            <w:tcW w:w="1808" w:type="dxa"/>
            <w:tcBorders>
              <w:top w:val="nil"/>
              <w:bottom w:val="nil"/>
            </w:tcBorders>
            <w:vAlign w:val="center"/>
          </w:tcPr>
          <w:p w14:paraId="78A707EB"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w:t>
            </w:r>
          </w:p>
        </w:tc>
        <w:tc>
          <w:tcPr>
            <w:tcW w:w="1407" w:type="dxa"/>
            <w:tcBorders>
              <w:top w:val="nil"/>
              <w:bottom w:val="nil"/>
            </w:tcBorders>
            <w:vAlign w:val="center"/>
          </w:tcPr>
          <w:p w14:paraId="3AE7CA71"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2,6</w:t>
            </w:r>
          </w:p>
        </w:tc>
      </w:tr>
      <w:tr w:rsidR="00195088" w:rsidRPr="00A74402" w14:paraId="5538BD98" w14:textId="77777777" w:rsidTr="00195088">
        <w:trPr>
          <w:trHeight w:val="158"/>
        </w:trPr>
        <w:tc>
          <w:tcPr>
            <w:tcW w:w="1924" w:type="dxa"/>
            <w:tcBorders>
              <w:top w:val="nil"/>
              <w:bottom w:val="nil"/>
            </w:tcBorders>
            <w:shd w:val="clear" w:color="auto" w:fill="auto"/>
            <w:noWrap/>
            <w:vAlign w:val="center"/>
          </w:tcPr>
          <w:p w14:paraId="760147CF"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2004-07</w:t>
            </w:r>
          </w:p>
        </w:tc>
        <w:tc>
          <w:tcPr>
            <w:tcW w:w="1607" w:type="dxa"/>
            <w:tcBorders>
              <w:top w:val="nil"/>
              <w:bottom w:val="nil"/>
            </w:tcBorders>
            <w:shd w:val="clear" w:color="auto" w:fill="auto"/>
            <w:noWrap/>
            <w:vAlign w:val="center"/>
          </w:tcPr>
          <w:p w14:paraId="2A2CC5C3"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20,8</w:t>
            </w:r>
          </w:p>
        </w:tc>
        <w:tc>
          <w:tcPr>
            <w:tcW w:w="1607" w:type="dxa"/>
            <w:tcBorders>
              <w:top w:val="nil"/>
              <w:bottom w:val="nil"/>
            </w:tcBorders>
            <w:shd w:val="clear" w:color="auto" w:fill="auto"/>
            <w:noWrap/>
            <w:vAlign w:val="center"/>
          </w:tcPr>
          <w:p w14:paraId="12ABA388"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14,1</w:t>
            </w:r>
          </w:p>
        </w:tc>
        <w:tc>
          <w:tcPr>
            <w:tcW w:w="1808" w:type="dxa"/>
            <w:tcBorders>
              <w:top w:val="nil"/>
              <w:bottom w:val="nil"/>
            </w:tcBorders>
            <w:vAlign w:val="center"/>
          </w:tcPr>
          <w:p w14:paraId="5DAD5C24"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85,9</w:t>
            </w:r>
          </w:p>
        </w:tc>
        <w:tc>
          <w:tcPr>
            <w:tcW w:w="1407" w:type="dxa"/>
            <w:tcBorders>
              <w:top w:val="nil"/>
              <w:bottom w:val="nil"/>
            </w:tcBorders>
            <w:vAlign w:val="center"/>
          </w:tcPr>
          <w:p w14:paraId="5EB4B2B5"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5,7</w:t>
            </w:r>
          </w:p>
        </w:tc>
      </w:tr>
      <w:tr w:rsidR="00195088" w:rsidRPr="00A74402" w14:paraId="765EF7C2" w14:textId="77777777" w:rsidTr="00195088">
        <w:trPr>
          <w:trHeight w:val="257"/>
        </w:trPr>
        <w:tc>
          <w:tcPr>
            <w:tcW w:w="1924" w:type="dxa"/>
            <w:tcBorders>
              <w:top w:val="nil"/>
              <w:bottom w:val="nil"/>
            </w:tcBorders>
            <w:shd w:val="clear" w:color="auto" w:fill="auto"/>
            <w:noWrap/>
            <w:vAlign w:val="center"/>
          </w:tcPr>
          <w:p w14:paraId="7CCE4303"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2008-13</w:t>
            </w:r>
          </w:p>
        </w:tc>
        <w:tc>
          <w:tcPr>
            <w:tcW w:w="1607" w:type="dxa"/>
            <w:tcBorders>
              <w:top w:val="nil"/>
              <w:bottom w:val="nil"/>
            </w:tcBorders>
            <w:shd w:val="clear" w:color="auto" w:fill="auto"/>
            <w:noWrap/>
            <w:vAlign w:val="center"/>
          </w:tcPr>
          <w:p w14:paraId="0FEDBF48"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23,7</w:t>
            </w:r>
          </w:p>
        </w:tc>
        <w:tc>
          <w:tcPr>
            <w:tcW w:w="1607" w:type="dxa"/>
            <w:tcBorders>
              <w:top w:val="nil"/>
              <w:bottom w:val="nil"/>
            </w:tcBorders>
            <w:shd w:val="clear" w:color="auto" w:fill="auto"/>
            <w:noWrap/>
            <w:vAlign w:val="center"/>
          </w:tcPr>
          <w:p w14:paraId="2ECFE3EE"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22,8</w:t>
            </w:r>
          </w:p>
        </w:tc>
        <w:tc>
          <w:tcPr>
            <w:tcW w:w="1808" w:type="dxa"/>
            <w:tcBorders>
              <w:top w:val="nil"/>
              <w:bottom w:val="nil"/>
            </w:tcBorders>
            <w:vAlign w:val="center"/>
          </w:tcPr>
          <w:p w14:paraId="7867F2D4"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77,2</w:t>
            </w:r>
          </w:p>
        </w:tc>
        <w:tc>
          <w:tcPr>
            <w:tcW w:w="1407" w:type="dxa"/>
            <w:tcBorders>
              <w:top w:val="nil"/>
              <w:bottom w:val="nil"/>
            </w:tcBorders>
            <w:vAlign w:val="center"/>
          </w:tcPr>
          <w:p w14:paraId="46DBB942"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3,8</w:t>
            </w:r>
          </w:p>
        </w:tc>
      </w:tr>
      <w:tr w:rsidR="00195088" w:rsidRPr="00A74402" w14:paraId="4E5118D9" w14:textId="77777777" w:rsidTr="00195088">
        <w:trPr>
          <w:trHeight w:val="75"/>
        </w:trPr>
        <w:tc>
          <w:tcPr>
            <w:tcW w:w="1924" w:type="dxa"/>
            <w:tcBorders>
              <w:top w:val="nil"/>
              <w:bottom w:val="single" w:sz="4" w:space="0" w:color="auto"/>
            </w:tcBorders>
            <w:shd w:val="clear" w:color="auto" w:fill="auto"/>
            <w:noWrap/>
            <w:vAlign w:val="center"/>
            <w:hideMark/>
          </w:tcPr>
          <w:p w14:paraId="3453C510"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2014-17</w:t>
            </w:r>
          </w:p>
        </w:tc>
        <w:tc>
          <w:tcPr>
            <w:tcW w:w="1607" w:type="dxa"/>
            <w:tcBorders>
              <w:top w:val="nil"/>
              <w:bottom w:val="single" w:sz="4" w:space="0" w:color="auto"/>
            </w:tcBorders>
            <w:shd w:val="clear" w:color="auto" w:fill="auto"/>
            <w:noWrap/>
            <w:vAlign w:val="center"/>
            <w:hideMark/>
          </w:tcPr>
          <w:p w14:paraId="0CBBCCC2"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23,0</w:t>
            </w:r>
          </w:p>
        </w:tc>
        <w:tc>
          <w:tcPr>
            <w:tcW w:w="1607" w:type="dxa"/>
            <w:tcBorders>
              <w:top w:val="nil"/>
              <w:bottom w:val="single" w:sz="4" w:space="0" w:color="auto"/>
            </w:tcBorders>
            <w:shd w:val="clear" w:color="auto" w:fill="auto"/>
            <w:noWrap/>
            <w:vAlign w:val="center"/>
            <w:hideMark/>
          </w:tcPr>
          <w:p w14:paraId="1BAAEF11"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 xml:space="preserve">  21,7*</w:t>
            </w:r>
          </w:p>
        </w:tc>
        <w:tc>
          <w:tcPr>
            <w:tcW w:w="1808" w:type="dxa"/>
            <w:tcBorders>
              <w:top w:val="nil"/>
              <w:bottom w:val="single" w:sz="4" w:space="0" w:color="auto"/>
            </w:tcBorders>
            <w:vAlign w:val="center"/>
          </w:tcPr>
          <w:p w14:paraId="07A228AF" w14:textId="77777777" w:rsidR="00195088" w:rsidRPr="00A74402" w:rsidRDefault="00195088" w:rsidP="00195088">
            <w:pPr>
              <w:spacing w:line="240" w:lineRule="auto"/>
              <w:jc w:val="center"/>
              <w:rPr>
                <w:rFonts w:ascii="Times New Roman" w:eastAsia="Times New Roman" w:hAnsi="Times New Roman" w:cs="Times New Roman"/>
                <w:color w:val="C00000"/>
                <w:sz w:val="24"/>
                <w:szCs w:val="24"/>
                <w:lang w:val="es-ES_tradnl"/>
              </w:rPr>
            </w:pPr>
            <w:r w:rsidRPr="00A74402">
              <w:rPr>
                <w:rFonts w:ascii="Times New Roman" w:eastAsia="Times New Roman" w:hAnsi="Times New Roman" w:cs="Times New Roman"/>
                <w:sz w:val="24"/>
                <w:szCs w:val="24"/>
                <w:lang w:val="es-ES_tradnl"/>
              </w:rPr>
              <w:t xml:space="preserve">  78,3*</w:t>
            </w:r>
          </w:p>
        </w:tc>
        <w:tc>
          <w:tcPr>
            <w:tcW w:w="1407" w:type="dxa"/>
            <w:tcBorders>
              <w:top w:val="nil"/>
              <w:bottom w:val="single" w:sz="4" w:space="0" w:color="auto"/>
            </w:tcBorders>
            <w:vAlign w:val="center"/>
          </w:tcPr>
          <w:p w14:paraId="72FF7C51" w14:textId="77777777" w:rsidR="00195088" w:rsidRPr="00A74402" w:rsidRDefault="00195088" w:rsidP="00195088">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1,7</w:t>
            </w:r>
          </w:p>
        </w:tc>
      </w:tr>
    </w:tbl>
    <w:p w14:paraId="1CD120AC" w14:textId="33115A48" w:rsidR="00565201" w:rsidRPr="00A74402" w:rsidRDefault="00565201" w:rsidP="00195088">
      <w:pPr>
        <w:spacing w:line="240" w:lineRule="auto"/>
        <w:ind w:left="288" w:right="144"/>
        <w:rPr>
          <w:rFonts w:ascii="Times New Roman" w:eastAsia="Times New Roman" w:hAnsi="Times New Roman" w:cs="Times New Roman"/>
          <w:color w:val="000000"/>
          <w:sz w:val="20"/>
          <w:szCs w:val="20"/>
          <w:lang w:val="es-ES_tradnl"/>
        </w:rPr>
      </w:pPr>
      <w:r w:rsidRPr="00A74402">
        <w:rPr>
          <w:rFonts w:ascii="Times New Roman" w:eastAsia="Times New Roman" w:hAnsi="Times New Roman" w:cs="Times New Roman"/>
          <w:color w:val="000000"/>
          <w:sz w:val="20"/>
          <w:szCs w:val="20"/>
          <w:lang w:val="es-ES_tradnl"/>
        </w:rPr>
        <w:t xml:space="preserve">precios constantes de 2003 </w:t>
      </w:r>
      <w:r w:rsidR="009351C5" w:rsidRPr="00A74402">
        <w:rPr>
          <w:rFonts w:ascii="Times New Roman" w:eastAsia="Times New Roman" w:hAnsi="Times New Roman" w:cs="Times New Roman"/>
          <w:color w:val="000000"/>
          <w:sz w:val="20"/>
          <w:szCs w:val="20"/>
          <w:lang w:val="es-ES_tradnl"/>
        </w:rPr>
        <w:t>con</w:t>
      </w:r>
      <w:r w:rsidRPr="00A74402">
        <w:rPr>
          <w:rFonts w:ascii="Times New Roman" w:eastAsia="Times New Roman" w:hAnsi="Times New Roman" w:cs="Times New Roman"/>
          <w:color w:val="000000"/>
          <w:sz w:val="20"/>
          <w:szCs w:val="20"/>
          <w:lang w:val="es-ES_tradnl"/>
        </w:rPr>
        <w:t xml:space="preserve"> empalmes con revisiones de Marcel y Meller (1986); desde 2006 inclusive se utilizan las variaciones porcentuales del PIB según la serie base móvil encadenada 2013. </w:t>
      </w:r>
    </w:p>
    <w:p w14:paraId="487E8F4E" w14:textId="2D239585" w:rsidR="00ED708C" w:rsidRPr="00A74402" w:rsidRDefault="00565201" w:rsidP="00195088">
      <w:pPr>
        <w:spacing w:line="240" w:lineRule="auto"/>
        <w:ind w:left="288" w:right="144"/>
        <w:rPr>
          <w:rFonts w:ascii="Times New Roman" w:eastAsia="Times New Roman" w:hAnsi="Times New Roman" w:cs="Times New Roman"/>
          <w:color w:val="000000"/>
          <w:sz w:val="20"/>
          <w:szCs w:val="20"/>
          <w:lang w:val="es-ES_tradnl"/>
        </w:rPr>
      </w:pPr>
      <w:r w:rsidRPr="00A74402">
        <w:rPr>
          <w:rFonts w:ascii="Times New Roman" w:eastAsia="Times New Roman" w:hAnsi="Times New Roman" w:cs="Times New Roman"/>
          <w:color w:val="000000"/>
          <w:sz w:val="20"/>
          <w:szCs w:val="20"/>
          <w:lang w:val="es-ES_tradnl"/>
        </w:rPr>
        <w:t>*</w:t>
      </w:r>
      <w:r w:rsidR="00250C71" w:rsidRPr="00A74402">
        <w:rPr>
          <w:rFonts w:ascii="Times New Roman" w:eastAsia="Times New Roman" w:hAnsi="Times New Roman" w:cs="Times New Roman"/>
          <w:color w:val="000000"/>
          <w:sz w:val="20"/>
          <w:szCs w:val="20"/>
          <w:lang w:val="es-ES_tradnl"/>
        </w:rPr>
        <w:t xml:space="preserve"> P</w:t>
      </w:r>
      <w:r w:rsidRPr="00A74402">
        <w:rPr>
          <w:rFonts w:ascii="Times New Roman" w:eastAsia="Times New Roman" w:hAnsi="Times New Roman" w:cs="Times New Roman"/>
          <w:color w:val="000000"/>
          <w:sz w:val="20"/>
          <w:szCs w:val="20"/>
          <w:lang w:val="es-ES_tradnl"/>
        </w:rPr>
        <w:t>or disponibilidad de datos, promedio 2014-16.</w:t>
      </w:r>
    </w:p>
    <w:p w14:paraId="2A03ADAE" w14:textId="77777777" w:rsidR="00624D99" w:rsidRPr="00A74402" w:rsidRDefault="00624D99" w:rsidP="00195088">
      <w:pPr>
        <w:spacing w:line="240" w:lineRule="auto"/>
        <w:ind w:left="288" w:right="144"/>
        <w:rPr>
          <w:rFonts w:ascii="Times New Roman" w:eastAsia="Times New Roman" w:hAnsi="Times New Roman" w:cs="Times New Roman"/>
          <w:color w:val="000000"/>
          <w:sz w:val="20"/>
          <w:szCs w:val="20"/>
          <w:lang w:val="es-ES_tradnl"/>
        </w:rPr>
      </w:pPr>
    </w:p>
    <w:p w14:paraId="5FE0D5BA" w14:textId="77777777" w:rsidR="00565201" w:rsidRPr="00A74402" w:rsidRDefault="00565201" w:rsidP="00565201">
      <w:pPr>
        <w:ind w:left="288" w:right="144"/>
        <w:jc w:val="left"/>
        <w:rPr>
          <w:rFonts w:ascii="Times New Roman" w:eastAsia="Times New Roman" w:hAnsi="Times New Roman" w:cs="Times New Roman"/>
          <w:color w:val="000000"/>
          <w:sz w:val="20"/>
          <w:szCs w:val="20"/>
          <w:lang w:val="es-ES_tradnl"/>
        </w:rPr>
      </w:pPr>
    </w:p>
    <w:p w14:paraId="34345F2C" w14:textId="6D8E2A98" w:rsidR="00565201" w:rsidRPr="00A74402" w:rsidRDefault="00565201" w:rsidP="00565201">
      <w:pPr>
        <w:spacing w:line="240" w:lineRule="auto"/>
        <w:ind w:left="144" w:right="144"/>
        <w:jc w:val="center"/>
        <w:rPr>
          <w:rFonts w:ascii="Times New Roman" w:hAnsi="Times New Roman" w:cs="Times New Roman"/>
          <w:color w:val="FF0000"/>
          <w:lang w:val="es-ES_tradnl"/>
        </w:rPr>
      </w:pPr>
      <w:r w:rsidRPr="00A74402">
        <w:rPr>
          <w:rFonts w:ascii="Times New Roman" w:hAnsi="Times New Roman" w:cs="Times New Roman"/>
          <w:b/>
          <w:sz w:val="24"/>
          <w:szCs w:val="24"/>
          <w:lang w:val="es-ES_tradnl"/>
        </w:rPr>
        <w:t>Cuadro 2. Inversión y producción minera, 2003-17</w:t>
      </w:r>
    </w:p>
    <w:tbl>
      <w:tblPr>
        <w:tblpPr w:leftFromText="180" w:rightFromText="180" w:vertAnchor="text" w:horzAnchor="page" w:tblpX="1450" w:tblpY="279"/>
        <w:tblW w:w="9057" w:type="dxa"/>
        <w:tblLayout w:type="fixed"/>
        <w:tblLook w:val="04A0" w:firstRow="1" w:lastRow="0" w:firstColumn="1" w:lastColumn="0" w:noHBand="0" w:noVBand="1"/>
      </w:tblPr>
      <w:tblGrid>
        <w:gridCol w:w="990"/>
        <w:gridCol w:w="962"/>
        <w:gridCol w:w="1601"/>
        <w:gridCol w:w="1332"/>
        <w:gridCol w:w="1508"/>
        <w:gridCol w:w="1332"/>
        <w:gridCol w:w="1332"/>
      </w:tblGrid>
      <w:tr w:rsidR="0087605E" w:rsidRPr="00A74402" w14:paraId="6F0B9052" w14:textId="77777777" w:rsidTr="0087605E">
        <w:trPr>
          <w:trHeight w:val="773"/>
        </w:trPr>
        <w:tc>
          <w:tcPr>
            <w:tcW w:w="990" w:type="dxa"/>
            <w:tcBorders>
              <w:top w:val="single" w:sz="4" w:space="0" w:color="auto"/>
              <w:left w:val="nil"/>
              <w:bottom w:val="single" w:sz="4" w:space="0" w:color="auto"/>
              <w:right w:val="nil"/>
            </w:tcBorders>
            <w:shd w:val="clear" w:color="auto" w:fill="F2F2F2" w:themeFill="background1" w:themeFillShade="F2"/>
            <w:noWrap/>
            <w:vAlign w:val="center"/>
            <w:hideMark/>
          </w:tcPr>
          <w:p w14:paraId="5833DFC4" w14:textId="77777777" w:rsidR="0087605E" w:rsidRPr="00A74402" w:rsidRDefault="0087605E" w:rsidP="000D4256">
            <w:pPr>
              <w:spacing w:line="240" w:lineRule="auto"/>
              <w:jc w:val="center"/>
              <w:rPr>
                <w:rFonts w:ascii="Times New Roman" w:hAnsi="Times New Roman" w:cs="Times New Roman"/>
                <w:sz w:val="20"/>
                <w:szCs w:val="20"/>
                <w:lang w:val="es-ES_tradnl"/>
              </w:rPr>
            </w:pPr>
            <w:bookmarkStart w:id="1" w:name="OLE_LINK1"/>
            <w:r w:rsidRPr="00A74402">
              <w:rPr>
                <w:rFonts w:ascii="Times New Roman" w:hAnsi="Times New Roman" w:cs="Times New Roman"/>
                <w:sz w:val="20"/>
                <w:szCs w:val="20"/>
                <w:lang w:val="es-ES_tradnl"/>
              </w:rPr>
              <w:t>Períodos</w:t>
            </w:r>
          </w:p>
        </w:tc>
        <w:tc>
          <w:tcPr>
            <w:tcW w:w="962" w:type="dxa"/>
            <w:tcBorders>
              <w:top w:val="single" w:sz="4" w:space="0" w:color="auto"/>
              <w:left w:val="nil"/>
              <w:bottom w:val="single" w:sz="4" w:space="0" w:color="auto"/>
              <w:right w:val="nil"/>
            </w:tcBorders>
            <w:shd w:val="clear" w:color="auto" w:fill="F2F2F2" w:themeFill="background1" w:themeFillShade="F2"/>
            <w:noWrap/>
            <w:vAlign w:val="center"/>
            <w:hideMark/>
          </w:tcPr>
          <w:p w14:paraId="591C58AA" w14:textId="77777777" w:rsidR="0087605E" w:rsidRPr="00A74402" w:rsidRDefault="0087605E" w:rsidP="000D4256">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FBKF   (% PIB)</w:t>
            </w:r>
          </w:p>
        </w:tc>
        <w:tc>
          <w:tcPr>
            <w:tcW w:w="1601" w:type="dxa"/>
            <w:tcBorders>
              <w:top w:val="single" w:sz="4" w:space="0" w:color="auto"/>
              <w:left w:val="nil"/>
              <w:bottom w:val="single" w:sz="4" w:space="0" w:color="auto"/>
              <w:right w:val="nil"/>
            </w:tcBorders>
            <w:shd w:val="clear" w:color="auto" w:fill="F2F2F2" w:themeFill="background1" w:themeFillShade="F2"/>
            <w:vAlign w:val="center"/>
            <w:hideMark/>
          </w:tcPr>
          <w:p w14:paraId="2F825244" w14:textId="77777777" w:rsidR="0087605E" w:rsidRPr="00A74402" w:rsidRDefault="0087605E" w:rsidP="000D4256">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FBKF minería      (% PIB)</w:t>
            </w:r>
          </w:p>
        </w:tc>
        <w:tc>
          <w:tcPr>
            <w:tcW w:w="1332" w:type="dxa"/>
            <w:tcBorders>
              <w:top w:val="single" w:sz="4" w:space="0" w:color="auto"/>
              <w:left w:val="nil"/>
              <w:bottom w:val="single" w:sz="4" w:space="0" w:color="auto"/>
              <w:right w:val="nil"/>
            </w:tcBorders>
            <w:shd w:val="clear" w:color="auto" w:fill="F2F2F2" w:themeFill="background1" w:themeFillShade="F2"/>
            <w:vAlign w:val="center"/>
          </w:tcPr>
          <w:p w14:paraId="359AD2BF" w14:textId="77777777" w:rsidR="0087605E" w:rsidRPr="00A74402" w:rsidRDefault="0087605E" w:rsidP="000D4256">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FBKF resto (% PIB)</w:t>
            </w:r>
          </w:p>
        </w:tc>
        <w:tc>
          <w:tcPr>
            <w:tcW w:w="1508" w:type="dxa"/>
            <w:tcBorders>
              <w:top w:val="single" w:sz="4" w:space="0" w:color="auto"/>
              <w:left w:val="nil"/>
              <w:bottom w:val="single" w:sz="4" w:space="0" w:color="auto"/>
              <w:right w:val="nil"/>
            </w:tcBorders>
            <w:shd w:val="clear" w:color="auto" w:fill="F2F2F2" w:themeFill="background1" w:themeFillShade="F2"/>
            <w:vAlign w:val="center"/>
            <w:hideMark/>
          </w:tcPr>
          <w:p w14:paraId="0F93AD46" w14:textId="77777777" w:rsidR="0087605E" w:rsidRPr="00A74402" w:rsidRDefault="0087605E" w:rsidP="000D4256">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FBKF minería (% FBKF)</w:t>
            </w:r>
          </w:p>
        </w:tc>
        <w:tc>
          <w:tcPr>
            <w:tcW w:w="1332" w:type="dxa"/>
            <w:tcBorders>
              <w:top w:val="single" w:sz="4" w:space="0" w:color="auto"/>
              <w:left w:val="nil"/>
              <w:bottom w:val="single" w:sz="4" w:space="0" w:color="auto"/>
              <w:right w:val="nil"/>
            </w:tcBorders>
            <w:shd w:val="clear" w:color="auto" w:fill="F2F2F2" w:themeFill="background1" w:themeFillShade="F2"/>
            <w:vAlign w:val="center"/>
            <w:hideMark/>
          </w:tcPr>
          <w:p w14:paraId="2F6B1FA3" w14:textId="7E7A6C28" w:rsidR="0087605E" w:rsidRPr="00A74402" w:rsidRDefault="0087605E" w:rsidP="000D4256">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PIB minería    (% PIB)</w:t>
            </w:r>
          </w:p>
        </w:tc>
        <w:tc>
          <w:tcPr>
            <w:tcW w:w="1332" w:type="dxa"/>
            <w:tcBorders>
              <w:top w:val="single" w:sz="4" w:space="0" w:color="auto"/>
              <w:left w:val="nil"/>
              <w:bottom w:val="single" w:sz="4" w:space="0" w:color="auto"/>
              <w:right w:val="nil"/>
            </w:tcBorders>
            <w:shd w:val="clear" w:color="auto" w:fill="F2F2F2" w:themeFill="background1" w:themeFillShade="F2"/>
            <w:vAlign w:val="center"/>
            <w:hideMark/>
          </w:tcPr>
          <w:p w14:paraId="3BA97573" w14:textId="77777777" w:rsidR="0087605E" w:rsidRPr="00A74402" w:rsidRDefault="0087605E" w:rsidP="000D4256">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PIB minería encadenado      (% PIB)</w:t>
            </w:r>
          </w:p>
        </w:tc>
      </w:tr>
      <w:tr w:rsidR="0087605E" w:rsidRPr="00A74402" w14:paraId="0208C6F5" w14:textId="77777777" w:rsidTr="0087605E">
        <w:trPr>
          <w:trHeight w:val="286"/>
        </w:trPr>
        <w:tc>
          <w:tcPr>
            <w:tcW w:w="990" w:type="dxa"/>
            <w:tcBorders>
              <w:left w:val="nil"/>
              <w:bottom w:val="single" w:sz="4" w:space="0" w:color="auto"/>
              <w:right w:val="nil"/>
            </w:tcBorders>
            <w:shd w:val="clear" w:color="auto" w:fill="F2F2F2" w:themeFill="background1" w:themeFillShade="F2"/>
            <w:noWrap/>
            <w:vAlign w:val="center"/>
            <w:hideMark/>
          </w:tcPr>
          <w:p w14:paraId="29AC87EF" w14:textId="77777777" w:rsidR="0087605E" w:rsidRPr="00A74402" w:rsidRDefault="0087605E" w:rsidP="000D4256">
            <w:pPr>
              <w:spacing w:line="240" w:lineRule="auto"/>
              <w:jc w:val="center"/>
              <w:rPr>
                <w:rFonts w:ascii="Times New Roman" w:eastAsia="Times New Roman" w:hAnsi="Times New Roman" w:cs="Times New Roman"/>
                <w:color w:val="000000"/>
                <w:lang w:val="en-US"/>
              </w:rPr>
            </w:pPr>
          </w:p>
        </w:tc>
        <w:tc>
          <w:tcPr>
            <w:tcW w:w="962" w:type="dxa"/>
            <w:tcBorders>
              <w:top w:val="single" w:sz="4" w:space="0" w:color="auto"/>
              <w:left w:val="nil"/>
              <w:bottom w:val="single" w:sz="4" w:space="0" w:color="auto"/>
              <w:right w:val="nil"/>
            </w:tcBorders>
            <w:shd w:val="clear" w:color="auto" w:fill="F2F2F2" w:themeFill="background1" w:themeFillShade="F2"/>
            <w:vAlign w:val="center"/>
            <w:hideMark/>
          </w:tcPr>
          <w:p w14:paraId="5AE7B643" w14:textId="77777777" w:rsidR="0087605E" w:rsidRPr="00A74402" w:rsidRDefault="0087605E" w:rsidP="000D4256">
            <w:pPr>
              <w:spacing w:line="240" w:lineRule="auto"/>
              <w:jc w:val="center"/>
              <w:rPr>
                <w:rFonts w:ascii="Times New Roman" w:eastAsia="Times New Roman" w:hAnsi="Times New Roman" w:cs="Times New Roman"/>
                <w:color w:val="000000"/>
                <w:sz w:val="20"/>
                <w:szCs w:val="20"/>
                <w:lang w:val="en-US"/>
              </w:rPr>
            </w:pPr>
            <w:r w:rsidRPr="00A74402">
              <w:rPr>
                <w:rFonts w:ascii="Times New Roman" w:eastAsia="Times New Roman" w:hAnsi="Times New Roman" w:cs="Times New Roman"/>
                <w:color w:val="000000"/>
                <w:sz w:val="20"/>
                <w:szCs w:val="20"/>
                <w:lang w:val="en-US"/>
              </w:rPr>
              <w:t>(1)</w:t>
            </w:r>
          </w:p>
        </w:tc>
        <w:tc>
          <w:tcPr>
            <w:tcW w:w="1601" w:type="dxa"/>
            <w:tcBorders>
              <w:top w:val="single" w:sz="4" w:space="0" w:color="auto"/>
              <w:left w:val="nil"/>
              <w:bottom w:val="single" w:sz="4" w:space="0" w:color="auto"/>
              <w:right w:val="nil"/>
            </w:tcBorders>
            <w:shd w:val="clear" w:color="auto" w:fill="F2F2F2" w:themeFill="background1" w:themeFillShade="F2"/>
            <w:vAlign w:val="center"/>
            <w:hideMark/>
          </w:tcPr>
          <w:p w14:paraId="06480B66" w14:textId="77777777" w:rsidR="0087605E" w:rsidRPr="00A74402" w:rsidRDefault="0087605E" w:rsidP="000D4256">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w:t>
            </w:r>
          </w:p>
        </w:tc>
        <w:tc>
          <w:tcPr>
            <w:tcW w:w="1332" w:type="dxa"/>
            <w:tcBorders>
              <w:top w:val="single" w:sz="4" w:space="0" w:color="auto"/>
              <w:left w:val="nil"/>
              <w:bottom w:val="single" w:sz="4" w:space="0" w:color="auto"/>
              <w:right w:val="nil"/>
            </w:tcBorders>
            <w:shd w:val="clear" w:color="auto" w:fill="F2F2F2" w:themeFill="background1" w:themeFillShade="F2"/>
            <w:vAlign w:val="center"/>
          </w:tcPr>
          <w:p w14:paraId="14EA007B" w14:textId="77777777" w:rsidR="0087605E" w:rsidRPr="00A74402" w:rsidRDefault="0087605E" w:rsidP="000D4256">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(3)</w:t>
            </w:r>
          </w:p>
        </w:tc>
        <w:tc>
          <w:tcPr>
            <w:tcW w:w="1508" w:type="dxa"/>
            <w:tcBorders>
              <w:top w:val="single" w:sz="4" w:space="0" w:color="auto"/>
              <w:left w:val="nil"/>
              <w:bottom w:val="single" w:sz="4" w:space="0" w:color="auto"/>
              <w:right w:val="nil"/>
            </w:tcBorders>
            <w:shd w:val="clear" w:color="auto" w:fill="F2F2F2" w:themeFill="background1" w:themeFillShade="F2"/>
            <w:vAlign w:val="center"/>
            <w:hideMark/>
          </w:tcPr>
          <w:p w14:paraId="7021198A" w14:textId="77777777" w:rsidR="0087605E" w:rsidRPr="00A74402" w:rsidRDefault="0087605E" w:rsidP="000D4256">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(4)</w:t>
            </w:r>
          </w:p>
        </w:tc>
        <w:tc>
          <w:tcPr>
            <w:tcW w:w="1332" w:type="dxa"/>
            <w:tcBorders>
              <w:top w:val="single" w:sz="4" w:space="0" w:color="auto"/>
              <w:left w:val="nil"/>
              <w:bottom w:val="single" w:sz="4" w:space="0" w:color="auto"/>
              <w:right w:val="nil"/>
            </w:tcBorders>
            <w:shd w:val="clear" w:color="auto" w:fill="F2F2F2" w:themeFill="background1" w:themeFillShade="F2"/>
            <w:noWrap/>
            <w:vAlign w:val="center"/>
            <w:hideMark/>
          </w:tcPr>
          <w:p w14:paraId="40DDBF70" w14:textId="0481A85C" w:rsidR="0087605E" w:rsidRPr="00A74402" w:rsidRDefault="0087605E" w:rsidP="000D4256">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(5)</w:t>
            </w:r>
          </w:p>
        </w:tc>
        <w:tc>
          <w:tcPr>
            <w:tcW w:w="1332" w:type="dxa"/>
            <w:tcBorders>
              <w:top w:val="single" w:sz="4" w:space="0" w:color="auto"/>
              <w:left w:val="nil"/>
              <w:bottom w:val="single" w:sz="4" w:space="0" w:color="auto"/>
              <w:right w:val="nil"/>
            </w:tcBorders>
            <w:shd w:val="clear" w:color="auto" w:fill="F2F2F2" w:themeFill="background1" w:themeFillShade="F2"/>
            <w:vAlign w:val="center"/>
            <w:hideMark/>
          </w:tcPr>
          <w:p w14:paraId="160612B7" w14:textId="77777777" w:rsidR="0087605E" w:rsidRPr="00A74402" w:rsidRDefault="0087605E" w:rsidP="000D4256">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(6)</w:t>
            </w:r>
          </w:p>
        </w:tc>
      </w:tr>
      <w:tr w:rsidR="0087605E" w:rsidRPr="00A74402" w14:paraId="6D22FFB1" w14:textId="77777777" w:rsidTr="0087605E">
        <w:trPr>
          <w:trHeight w:val="124"/>
        </w:trPr>
        <w:tc>
          <w:tcPr>
            <w:tcW w:w="990" w:type="dxa"/>
            <w:tcBorders>
              <w:top w:val="single" w:sz="4" w:space="0" w:color="auto"/>
              <w:left w:val="nil"/>
              <w:bottom w:val="nil"/>
              <w:right w:val="nil"/>
            </w:tcBorders>
            <w:shd w:val="clear" w:color="auto" w:fill="auto"/>
            <w:noWrap/>
            <w:vAlign w:val="center"/>
            <w:hideMark/>
          </w:tcPr>
          <w:p w14:paraId="25C55BA1"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2003</w:t>
            </w:r>
          </w:p>
        </w:tc>
        <w:tc>
          <w:tcPr>
            <w:tcW w:w="962" w:type="dxa"/>
            <w:tcBorders>
              <w:top w:val="single" w:sz="4" w:space="0" w:color="auto"/>
              <w:left w:val="nil"/>
              <w:bottom w:val="nil"/>
              <w:right w:val="nil"/>
            </w:tcBorders>
            <w:shd w:val="clear" w:color="000000" w:fill="FFFFFF"/>
            <w:noWrap/>
            <w:vAlign w:val="center"/>
            <w:hideMark/>
          </w:tcPr>
          <w:p w14:paraId="1F58F2EE"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21,2</w:t>
            </w:r>
          </w:p>
        </w:tc>
        <w:tc>
          <w:tcPr>
            <w:tcW w:w="1601" w:type="dxa"/>
            <w:tcBorders>
              <w:top w:val="single" w:sz="4" w:space="0" w:color="auto"/>
              <w:left w:val="nil"/>
              <w:bottom w:val="nil"/>
              <w:right w:val="nil"/>
            </w:tcBorders>
            <w:shd w:val="clear" w:color="000000" w:fill="auto"/>
            <w:noWrap/>
            <w:vAlign w:val="center"/>
            <w:hideMark/>
          </w:tcPr>
          <w:p w14:paraId="326C4ADC"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3,5</w:t>
            </w:r>
          </w:p>
        </w:tc>
        <w:tc>
          <w:tcPr>
            <w:tcW w:w="1332" w:type="dxa"/>
            <w:tcBorders>
              <w:top w:val="single" w:sz="4" w:space="0" w:color="auto"/>
              <w:left w:val="nil"/>
              <w:bottom w:val="nil"/>
              <w:right w:val="nil"/>
            </w:tcBorders>
            <w:shd w:val="clear" w:color="000000" w:fill="auto"/>
          </w:tcPr>
          <w:p w14:paraId="7F80AED0"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17,7</w:t>
            </w:r>
          </w:p>
        </w:tc>
        <w:tc>
          <w:tcPr>
            <w:tcW w:w="1508" w:type="dxa"/>
            <w:tcBorders>
              <w:top w:val="single" w:sz="4" w:space="0" w:color="auto"/>
              <w:left w:val="nil"/>
              <w:bottom w:val="nil"/>
              <w:right w:val="nil"/>
            </w:tcBorders>
            <w:shd w:val="clear" w:color="000000" w:fill="auto"/>
            <w:noWrap/>
            <w:vAlign w:val="center"/>
            <w:hideMark/>
          </w:tcPr>
          <w:p w14:paraId="06BF5A0D"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16,4</w:t>
            </w:r>
          </w:p>
        </w:tc>
        <w:tc>
          <w:tcPr>
            <w:tcW w:w="1332" w:type="dxa"/>
            <w:tcBorders>
              <w:top w:val="single" w:sz="4" w:space="0" w:color="auto"/>
              <w:left w:val="nil"/>
              <w:bottom w:val="nil"/>
              <w:right w:val="nil"/>
            </w:tcBorders>
            <w:shd w:val="clear" w:color="auto" w:fill="auto"/>
            <w:noWrap/>
            <w:vAlign w:val="center"/>
            <w:hideMark/>
          </w:tcPr>
          <w:p w14:paraId="75EE5B31" w14:textId="7F24C50A"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8,2</w:t>
            </w:r>
          </w:p>
        </w:tc>
        <w:tc>
          <w:tcPr>
            <w:tcW w:w="1332" w:type="dxa"/>
            <w:tcBorders>
              <w:top w:val="single" w:sz="4" w:space="0" w:color="auto"/>
              <w:left w:val="nil"/>
              <w:bottom w:val="nil"/>
              <w:right w:val="nil"/>
            </w:tcBorders>
            <w:shd w:val="clear" w:color="auto" w:fill="auto"/>
            <w:noWrap/>
            <w:vAlign w:val="center"/>
            <w:hideMark/>
          </w:tcPr>
          <w:p w14:paraId="542D6906"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16,6</w:t>
            </w:r>
          </w:p>
        </w:tc>
      </w:tr>
      <w:tr w:rsidR="0087605E" w:rsidRPr="00A74402" w14:paraId="49FBC1B4" w14:textId="77777777" w:rsidTr="0087605E">
        <w:trPr>
          <w:trHeight w:val="162"/>
        </w:trPr>
        <w:tc>
          <w:tcPr>
            <w:tcW w:w="990" w:type="dxa"/>
            <w:tcBorders>
              <w:top w:val="nil"/>
              <w:left w:val="nil"/>
              <w:bottom w:val="nil"/>
              <w:right w:val="nil"/>
            </w:tcBorders>
            <w:shd w:val="clear" w:color="auto" w:fill="auto"/>
            <w:noWrap/>
            <w:vAlign w:val="center"/>
            <w:hideMark/>
          </w:tcPr>
          <w:p w14:paraId="72B81472"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2004</w:t>
            </w:r>
          </w:p>
        </w:tc>
        <w:tc>
          <w:tcPr>
            <w:tcW w:w="962" w:type="dxa"/>
            <w:tcBorders>
              <w:top w:val="nil"/>
              <w:left w:val="nil"/>
              <w:bottom w:val="nil"/>
              <w:right w:val="nil"/>
            </w:tcBorders>
            <w:shd w:val="clear" w:color="000000" w:fill="FFFFFF"/>
            <w:noWrap/>
            <w:vAlign w:val="center"/>
            <w:hideMark/>
          </w:tcPr>
          <w:p w14:paraId="1AF55007"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20,3</w:t>
            </w:r>
          </w:p>
        </w:tc>
        <w:tc>
          <w:tcPr>
            <w:tcW w:w="1601" w:type="dxa"/>
            <w:tcBorders>
              <w:top w:val="nil"/>
              <w:left w:val="nil"/>
              <w:bottom w:val="nil"/>
              <w:right w:val="nil"/>
            </w:tcBorders>
            <w:shd w:val="clear" w:color="000000" w:fill="auto"/>
            <w:noWrap/>
            <w:vAlign w:val="center"/>
            <w:hideMark/>
          </w:tcPr>
          <w:p w14:paraId="500BE4B3"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2,3</w:t>
            </w:r>
          </w:p>
        </w:tc>
        <w:tc>
          <w:tcPr>
            <w:tcW w:w="1332" w:type="dxa"/>
            <w:tcBorders>
              <w:top w:val="nil"/>
              <w:left w:val="nil"/>
              <w:bottom w:val="nil"/>
              <w:right w:val="nil"/>
            </w:tcBorders>
            <w:shd w:val="clear" w:color="000000" w:fill="auto"/>
          </w:tcPr>
          <w:p w14:paraId="73517DCB"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18,0</w:t>
            </w:r>
          </w:p>
        </w:tc>
        <w:tc>
          <w:tcPr>
            <w:tcW w:w="1508" w:type="dxa"/>
            <w:tcBorders>
              <w:top w:val="nil"/>
              <w:left w:val="nil"/>
              <w:bottom w:val="nil"/>
              <w:right w:val="nil"/>
            </w:tcBorders>
            <w:shd w:val="clear" w:color="000000" w:fill="auto"/>
            <w:noWrap/>
            <w:vAlign w:val="center"/>
            <w:hideMark/>
          </w:tcPr>
          <w:p w14:paraId="1853BBA0"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11,6</w:t>
            </w:r>
          </w:p>
        </w:tc>
        <w:tc>
          <w:tcPr>
            <w:tcW w:w="1332" w:type="dxa"/>
            <w:tcBorders>
              <w:top w:val="nil"/>
              <w:left w:val="nil"/>
              <w:bottom w:val="nil"/>
              <w:right w:val="nil"/>
            </w:tcBorders>
            <w:shd w:val="clear" w:color="auto" w:fill="auto"/>
            <w:noWrap/>
            <w:vAlign w:val="center"/>
            <w:hideMark/>
          </w:tcPr>
          <w:p w14:paraId="5F51ABBC" w14:textId="0A0AF9F5"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12,5</w:t>
            </w:r>
          </w:p>
        </w:tc>
        <w:tc>
          <w:tcPr>
            <w:tcW w:w="1332" w:type="dxa"/>
            <w:tcBorders>
              <w:top w:val="nil"/>
              <w:left w:val="nil"/>
              <w:bottom w:val="nil"/>
              <w:right w:val="nil"/>
            </w:tcBorders>
            <w:shd w:val="clear" w:color="auto" w:fill="auto"/>
            <w:noWrap/>
            <w:vAlign w:val="center"/>
            <w:hideMark/>
          </w:tcPr>
          <w:p w14:paraId="5B36377E"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15,7</w:t>
            </w:r>
          </w:p>
        </w:tc>
      </w:tr>
      <w:tr w:rsidR="0087605E" w:rsidRPr="00A74402" w14:paraId="4943C306" w14:textId="77777777" w:rsidTr="0087605E">
        <w:trPr>
          <w:trHeight w:val="124"/>
        </w:trPr>
        <w:tc>
          <w:tcPr>
            <w:tcW w:w="990" w:type="dxa"/>
            <w:tcBorders>
              <w:top w:val="nil"/>
              <w:left w:val="nil"/>
              <w:bottom w:val="nil"/>
              <w:right w:val="nil"/>
            </w:tcBorders>
            <w:shd w:val="clear" w:color="auto" w:fill="auto"/>
            <w:noWrap/>
            <w:vAlign w:val="center"/>
            <w:hideMark/>
          </w:tcPr>
          <w:p w14:paraId="5A42E391"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2005</w:t>
            </w:r>
          </w:p>
        </w:tc>
        <w:tc>
          <w:tcPr>
            <w:tcW w:w="962" w:type="dxa"/>
            <w:tcBorders>
              <w:top w:val="nil"/>
              <w:left w:val="nil"/>
              <w:bottom w:val="nil"/>
              <w:right w:val="nil"/>
            </w:tcBorders>
            <w:shd w:val="clear" w:color="000000" w:fill="FFFFFF"/>
            <w:noWrap/>
            <w:vAlign w:val="center"/>
            <w:hideMark/>
          </w:tcPr>
          <w:p w14:paraId="53210EF6"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22,2</w:t>
            </w:r>
          </w:p>
        </w:tc>
        <w:tc>
          <w:tcPr>
            <w:tcW w:w="1601" w:type="dxa"/>
            <w:tcBorders>
              <w:top w:val="nil"/>
              <w:left w:val="nil"/>
              <w:bottom w:val="nil"/>
              <w:right w:val="nil"/>
            </w:tcBorders>
            <w:shd w:val="clear" w:color="000000" w:fill="auto"/>
            <w:noWrap/>
            <w:vAlign w:val="center"/>
            <w:hideMark/>
          </w:tcPr>
          <w:p w14:paraId="3647D2AD"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3,2</w:t>
            </w:r>
          </w:p>
        </w:tc>
        <w:tc>
          <w:tcPr>
            <w:tcW w:w="1332" w:type="dxa"/>
            <w:tcBorders>
              <w:top w:val="nil"/>
              <w:left w:val="nil"/>
              <w:bottom w:val="nil"/>
              <w:right w:val="nil"/>
            </w:tcBorders>
            <w:shd w:val="clear" w:color="000000" w:fill="auto"/>
          </w:tcPr>
          <w:p w14:paraId="7C6A127B"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19,0</w:t>
            </w:r>
          </w:p>
        </w:tc>
        <w:tc>
          <w:tcPr>
            <w:tcW w:w="1508" w:type="dxa"/>
            <w:tcBorders>
              <w:top w:val="nil"/>
              <w:left w:val="nil"/>
              <w:bottom w:val="nil"/>
              <w:right w:val="nil"/>
            </w:tcBorders>
            <w:shd w:val="clear" w:color="000000" w:fill="auto"/>
            <w:noWrap/>
            <w:vAlign w:val="center"/>
            <w:hideMark/>
          </w:tcPr>
          <w:p w14:paraId="0C53FE82"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14,5</w:t>
            </w:r>
          </w:p>
        </w:tc>
        <w:tc>
          <w:tcPr>
            <w:tcW w:w="1332" w:type="dxa"/>
            <w:tcBorders>
              <w:top w:val="nil"/>
              <w:left w:val="nil"/>
              <w:bottom w:val="nil"/>
              <w:right w:val="nil"/>
            </w:tcBorders>
            <w:shd w:val="clear" w:color="auto" w:fill="auto"/>
            <w:noWrap/>
            <w:vAlign w:val="center"/>
            <w:hideMark/>
          </w:tcPr>
          <w:p w14:paraId="0D578497" w14:textId="185D7F89"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14,6</w:t>
            </w:r>
          </w:p>
        </w:tc>
        <w:tc>
          <w:tcPr>
            <w:tcW w:w="1332" w:type="dxa"/>
            <w:tcBorders>
              <w:top w:val="nil"/>
              <w:left w:val="nil"/>
              <w:bottom w:val="nil"/>
              <w:right w:val="nil"/>
            </w:tcBorders>
            <w:shd w:val="clear" w:color="auto" w:fill="auto"/>
            <w:noWrap/>
            <w:vAlign w:val="center"/>
            <w:hideMark/>
          </w:tcPr>
          <w:p w14:paraId="718653A5"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14,2</w:t>
            </w:r>
          </w:p>
        </w:tc>
      </w:tr>
      <w:tr w:rsidR="0087605E" w:rsidRPr="00A74402" w14:paraId="0642954B" w14:textId="77777777" w:rsidTr="0087605E">
        <w:trPr>
          <w:trHeight w:val="124"/>
        </w:trPr>
        <w:tc>
          <w:tcPr>
            <w:tcW w:w="990" w:type="dxa"/>
            <w:tcBorders>
              <w:top w:val="nil"/>
              <w:left w:val="nil"/>
              <w:bottom w:val="nil"/>
              <w:right w:val="nil"/>
            </w:tcBorders>
            <w:shd w:val="clear" w:color="auto" w:fill="auto"/>
            <w:noWrap/>
            <w:vAlign w:val="center"/>
            <w:hideMark/>
          </w:tcPr>
          <w:p w14:paraId="479D8E2D"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2006</w:t>
            </w:r>
          </w:p>
        </w:tc>
        <w:tc>
          <w:tcPr>
            <w:tcW w:w="962" w:type="dxa"/>
            <w:tcBorders>
              <w:top w:val="nil"/>
              <w:left w:val="nil"/>
              <w:bottom w:val="nil"/>
              <w:right w:val="nil"/>
            </w:tcBorders>
            <w:shd w:val="clear" w:color="000000" w:fill="FFFFFF"/>
            <w:noWrap/>
            <w:vAlign w:val="center"/>
            <w:hideMark/>
          </w:tcPr>
          <w:p w14:paraId="02643BC1"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19,9</w:t>
            </w:r>
          </w:p>
        </w:tc>
        <w:tc>
          <w:tcPr>
            <w:tcW w:w="1601" w:type="dxa"/>
            <w:tcBorders>
              <w:top w:val="nil"/>
              <w:left w:val="nil"/>
              <w:bottom w:val="nil"/>
              <w:right w:val="nil"/>
            </w:tcBorders>
            <w:shd w:val="clear" w:color="000000" w:fill="auto"/>
            <w:noWrap/>
            <w:vAlign w:val="center"/>
            <w:hideMark/>
          </w:tcPr>
          <w:p w14:paraId="5A5501B3"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3,1</w:t>
            </w:r>
          </w:p>
        </w:tc>
        <w:tc>
          <w:tcPr>
            <w:tcW w:w="1332" w:type="dxa"/>
            <w:tcBorders>
              <w:top w:val="nil"/>
              <w:left w:val="nil"/>
              <w:bottom w:val="nil"/>
              <w:right w:val="nil"/>
            </w:tcBorders>
            <w:shd w:val="clear" w:color="000000" w:fill="auto"/>
          </w:tcPr>
          <w:p w14:paraId="0A2F1EC7"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16,8</w:t>
            </w:r>
          </w:p>
        </w:tc>
        <w:tc>
          <w:tcPr>
            <w:tcW w:w="1508" w:type="dxa"/>
            <w:tcBorders>
              <w:top w:val="nil"/>
              <w:left w:val="nil"/>
              <w:bottom w:val="nil"/>
              <w:right w:val="nil"/>
            </w:tcBorders>
            <w:shd w:val="clear" w:color="000000" w:fill="auto"/>
            <w:noWrap/>
            <w:vAlign w:val="center"/>
            <w:hideMark/>
          </w:tcPr>
          <w:p w14:paraId="4CBC6E3E"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15,6</w:t>
            </w:r>
          </w:p>
        </w:tc>
        <w:tc>
          <w:tcPr>
            <w:tcW w:w="1332" w:type="dxa"/>
            <w:tcBorders>
              <w:top w:val="nil"/>
              <w:left w:val="nil"/>
              <w:bottom w:val="nil"/>
              <w:right w:val="nil"/>
            </w:tcBorders>
            <w:shd w:val="clear" w:color="auto" w:fill="auto"/>
            <w:noWrap/>
            <w:vAlign w:val="center"/>
            <w:hideMark/>
          </w:tcPr>
          <w:p w14:paraId="73DE11F8" w14:textId="4F6C792B"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20,7</w:t>
            </w:r>
          </w:p>
        </w:tc>
        <w:tc>
          <w:tcPr>
            <w:tcW w:w="1332" w:type="dxa"/>
            <w:tcBorders>
              <w:top w:val="nil"/>
              <w:left w:val="nil"/>
              <w:bottom w:val="nil"/>
              <w:right w:val="nil"/>
            </w:tcBorders>
            <w:shd w:val="clear" w:color="auto" w:fill="auto"/>
            <w:noWrap/>
            <w:vAlign w:val="center"/>
            <w:hideMark/>
          </w:tcPr>
          <w:p w14:paraId="296441F1"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13,6</w:t>
            </w:r>
          </w:p>
        </w:tc>
      </w:tr>
      <w:tr w:rsidR="0087605E" w:rsidRPr="00A74402" w14:paraId="3ECA10D2" w14:textId="77777777" w:rsidTr="0087605E">
        <w:trPr>
          <w:trHeight w:val="124"/>
        </w:trPr>
        <w:tc>
          <w:tcPr>
            <w:tcW w:w="990" w:type="dxa"/>
            <w:tcBorders>
              <w:top w:val="nil"/>
              <w:left w:val="nil"/>
              <w:bottom w:val="nil"/>
              <w:right w:val="nil"/>
            </w:tcBorders>
            <w:shd w:val="clear" w:color="auto" w:fill="auto"/>
            <w:noWrap/>
            <w:vAlign w:val="center"/>
            <w:hideMark/>
          </w:tcPr>
          <w:p w14:paraId="43661073"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2007</w:t>
            </w:r>
          </w:p>
        </w:tc>
        <w:tc>
          <w:tcPr>
            <w:tcW w:w="962" w:type="dxa"/>
            <w:tcBorders>
              <w:top w:val="nil"/>
              <w:left w:val="nil"/>
              <w:bottom w:val="nil"/>
              <w:right w:val="nil"/>
            </w:tcBorders>
            <w:shd w:val="clear" w:color="000000" w:fill="FFFFFF"/>
            <w:noWrap/>
            <w:vAlign w:val="center"/>
            <w:hideMark/>
          </w:tcPr>
          <w:p w14:paraId="3D91DA14"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20,7</w:t>
            </w:r>
          </w:p>
        </w:tc>
        <w:tc>
          <w:tcPr>
            <w:tcW w:w="1601" w:type="dxa"/>
            <w:tcBorders>
              <w:top w:val="nil"/>
              <w:left w:val="nil"/>
              <w:bottom w:val="nil"/>
              <w:right w:val="nil"/>
            </w:tcBorders>
            <w:shd w:val="clear" w:color="000000" w:fill="auto"/>
            <w:noWrap/>
            <w:vAlign w:val="center"/>
            <w:hideMark/>
          </w:tcPr>
          <w:p w14:paraId="1F6803FD"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3,0</w:t>
            </w:r>
          </w:p>
        </w:tc>
        <w:tc>
          <w:tcPr>
            <w:tcW w:w="1332" w:type="dxa"/>
            <w:tcBorders>
              <w:top w:val="nil"/>
              <w:left w:val="nil"/>
              <w:bottom w:val="nil"/>
              <w:right w:val="nil"/>
            </w:tcBorders>
            <w:shd w:val="clear" w:color="000000" w:fill="auto"/>
          </w:tcPr>
          <w:p w14:paraId="746DC8C3"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17,7</w:t>
            </w:r>
          </w:p>
        </w:tc>
        <w:tc>
          <w:tcPr>
            <w:tcW w:w="1508" w:type="dxa"/>
            <w:tcBorders>
              <w:top w:val="nil"/>
              <w:left w:val="nil"/>
              <w:bottom w:val="nil"/>
              <w:right w:val="nil"/>
            </w:tcBorders>
            <w:shd w:val="clear" w:color="000000" w:fill="auto"/>
            <w:noWrap/>
            <w:vAlign w:val="center"/>
            <w:hideMark/>
          </w:tcPr>
          <w:p w14:paraId="32BBE876"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14,6</w:t>
            </w:r>
          </w:p>
        </w:tc>
        <w:tc>
          <w:tcPr>
            <w:tcW w:w="1332" w:type="dxa"/>
            <w:tcBorders>
              <w:top w:val="nil"/>
              <w:left w:val="nil"/>
              <w:bottom w:val="nil"/>
              <w:right w:val="nil"/>
            </w:tcBorders>
            <w:shd w:val="clear" w:color="auto" w:fill="auto"/>
            <w:noWrap/>
            <w:vAlign w:val="center"/>
            <w:hideMark/>
          </w:tcPr>
          <w:p w14:paraId="6DD1C803" w14:textId="07F092F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20,5</w:t>
            </w:r>
          </w:p>
        </w:tc>
        <w:tc>
          <w:tcPr>
            <w:tcW w:w="1332" w:type="dxa"/>
            <w:tcBorders>
              <w:top w:val="nil"/>
              <w:left w:val="nil"/>
              <w:bottom w:val="nil"/>
              <w:right w:val="nil"/>
            </w:tcBorders>
            <w:shd w:val="clear" w:color="auto" w:fill="auto"/>
            <w:noWrap/>
            <w:vAlign w:val="center"/>
            <w:hideMark/>
          </w:tcPr>
          <w:p w14:paraId="23F3106E"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13,3</w:t>
            </w:r>
          </w:p>
        </w:tc>
      </w:tr>
      <w:tr w:rsidR="0087605E" w:rsidRPr="00A74402" w14:paraId="4CBB367F" w14:textId="77777777" w:rsidTr="0087605E">
        <w:trPr>
          <w:trHeight w:val="124"/>
        </w:trPr>
        <w:tc>
          <w:tcPr>
            <w:tcW w:w="990" w:type="dxa"/>
            <w:tcBorders>
              <w:top w:val="nil"/>
              <w:left w:val="nil"/>
              <w:bottom w:val="nil"/>
              <w:right w:val="nil"/>
            </w:tcBorders>
            <w:shd w:val="clear" w:color="auto" w:fill="auto"/>
            <w:noWrap/>
            <w:vAlign w:val="center"/>
            <w:hideMark/>
          </w:tcPr>
          <w:p w14:paraId="68F41F5B"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2008</w:t>
            </w:r>
          </w:p>
        </w:tc>
        <w:tc>
          <w:tcPr>
            <w:tcW w:w="962" w:type="dxa"/>
            <w:tcBorders>
              <w:top w:val="nil"/>
              <w:left w:val="nil"/>
              <w:bottom w:val="nil"/>
              <w:right w:val="nil"/>
            </w:tcBorders>
            <w:shd w:val="clear" w:color="000000" w:fill="FFFFFF"/>
            <w:noWrap/>
            <w:vAlign w:val="center"/>
            <w:hideMark/>
          </w:tcPr>
          <w:p w14:paraId="7863C271"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25,5</w:t>
            </w:r>
          </w:p>
        </w:tc>
        <w:tc>
          <w:tcPr>
            <w:tcW w:w="1601" w:type="dxa"/>
            <w:tcBorders>
              <w:top w:val="nil"/>
              <w:left w:val="nil"/>
              <w:bottom w:val="nil"/>
              <w:right w:val="nil"/>
            </w:tcBorders>
            <w:shd w:val="clear" w:color="auto" w:fill="auto"/>
            <w:noWrap/>
            <w:vAlign w:val="center"/>
            <w:hideMark/>
          </w:tcPr>
          <w:p w14:paraId="262767D5"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4,2</w:t>
            </w:r>
          </w:p>
        </w:tc>
        <w:tc>
          <w:tcPr>
            <w:tcW w:w="1332" w:type="dxa"/>
            <w:tcBorders>
              <w:top w:val="nil"/>
              <w:left w:val="nil"/>
              <w:bottom w:val="nil"/>
              <w:right w:val="nil"/>
            </w:tcBorders>
          </w:tcPr>
          <w:p w14:paraId="50C716BE"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21,3</w:t>
            </w:r>
          </w:p>
        </w:tc>
        <w:tc>
          <w:tcPr>
            <w:tcW w:w="1508" w:type="dxa"/>
            <w:tcBorders>
              <w:top w:val="nil"/>
              <w:left w:val="nil"/>
              <w:bottom w:val="nil"/>
              <w:right w:val="nil"/>
            </w:tcBorders>
            <w:shd w:val="clear" w:color="auto" w:fill="auto"/>
            <w:noWrap/>
            <w:vAlign w:val="center"/>
            <w:hideMark/>
          </w:tcPr>
          <w:p w14:paraId="00C051FE"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16,5</w:t>
            </w:r>
          </w:p>
        </w:tc>
        <w:tc>
          <w:tcPr>
            <w:tcW w:w="1332" w:type="dxa"/>
            <w:tcBorders>
              <w:top w:val="nil"/>
              <w:left w:val="nil"/>
              <w:bottom w:val="nil"/>
              <w:right w:val="nil"/>
            </w:tcBorders>
            <w:shd w:val="clear" w:color="auto" w:fill="auto"/>
            <w:noWrap/>
            <w:vAlign w:val="center"/>
            <w:hideMark/>
          </w:tcPr>
          <w:p w14:paraId="6D161E04" w14:textId="214E9333"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14,0</w:t>
            </w:r>
          </w:p>
        </w:tc>
        <w:tc>
          <w:tcPr>
            <w:tcW w:w="1332" w:type="dxa"/>
            <w:tcBorders>
              <w:top w:val="nil"/>
              <w:left w:val="nil"/>
              <w:bottom w:val="nil"/>
              <w:right w:val="nil"/>
            </w:tcBorders>
            <w:shd w:val="clear" w:color="auto" w:fill="auto"/>
            <w:noWrap/>
            <w:vAlign w:val="center"/>
            <w:hideMark/>
          </w:tcPr>
          <w:p w14:paraId="048A67C2"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12,4</w:t>
            </w:r>
          </w:p>
        </w:tc>
      </w:tr>
      <w:tr w:rsidR="0087605E" w:rsidRPr="00A74402" w14:paraId="268F5D70" w14:textId="77777777" w:rsidTr="0087605E">
        <w:trPr>
          <w:trHeight w:val="124"/>
        </w:trPr>
        <w:tc>
          <w:tcPr>
            <w:tcW w:w="990" w:type="dxa"/>
            <w:tcBorders>
              <w:top w:val="nil"/>
              <w:left w:val="nil"/>
              <w:bottom w:val="nil"/>
              <w:right w:val="nil"/>
            </w:tcBorders>
            <w:shd w:val="clear" w:color="auto" w:fill="auto"/>
            <w:noWrap/>
            <w:vAlign w:val="center"/>
            <w:hideMark/>
          </w:tcPr>
          <w:p w14:paraId="452688BE"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2009</w:t>
            </w:r>
          </w:p>
        </w:tc>
        <w:tc>
          <w:tcPr>
            <w:tcW w:w="962" w:type="dxa"/>
            <w:tcBorders>
              <w:top w:val="nil"/>
              <w:left w:val="nil"/>
              <w:bottom w:val="nil"/>
              <w:right w:val="nil"/>
            </w:tcBorders>
            <w:shd w:val="clear" w:color="000000" w:fill="FFFFFF"/>
            <w:noWrap/>
            <w:vAlign w:val="center"/>
            <w:hideMark/>
          </w:tcPr>
          <w:p w14:paraId="7258BC5C"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22,5</w:t>
            </w:r>
          </w:p>
        </w:tc>
        <w:tc>
          <w:tcPr>
            <w:tcW w:w="1601" w:type="dxa"/>
            <w:tcBorders>
              <w:top w:val="nil"/>
              <w:left w:val="nil"/>
              <w:bottom w:val="nil"/>
              <w:right w:val="nil"/>
            </w:tcBorders>
            <w:shd w:val="clear" w:color="auto" w:fill="auto"/>
            <w:noWrap/>
            <w:vAlign w:val="center"/>
            <w:hideMark/>
          </w:tcPr>
          <w:p w14:paraId="513EFF5F"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4,1</w:t>
            </w:r>
          </w:p>
        </w:tc>
        <w:tc>
          <w:tcPr>
            <w:tcW w:w="1332" w:type="dxa"/>
            <w:tcBorders>
              <w:top w:val="nil"/>
              <w:left w:val="nil"/>
              <w:bottom w:val="nil"/>
              <w:right w:val="nil"/>
            </w:tcBorders>
          </w:tcPr>
          <w:p w14:paraId="78D7B35A"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18,4</w:t>
            </w:r>
          </w:p>
        </w:tc>
        <w:tc>
          <w:tcPr>
            <w:tcW w:w="1508" w:type="dxa"/>
            <w:tcBorders>
              <w:top w:val="nil"/>
              <w:left w:val="nil"/>
              <w:bottom w:val="nil"/>
              <w:right w:val="nil"/>
            </w:tcBorders>
            <w:shd w:val="clear" w:color="auto" w:fill="auto"/>
            <w:noWrap/>
            <w:vAlign w:val="center"/>
            <w:hideMark/>
          </w:tcPr>
          <w:p w14:paraId="06088DB8"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18,2</w:t>
            </w:r>
          </w:p>
        </w:tc>
        <w:tc>
          <w:tcPr>
            <w:tcW w:w="1332" w:type="dxa"/>
            <w:tcBorders>
              <w:top w:val="nil"/>
              <w:left w:val="nil"/>
              <w:bottom w:val="nil"/>
              <w:right w:val="nil"/>
            </w:tcBorders>
            <w:shd w:val="clear" w:color="auto" w:fill="auto"/>
            <w:noWrap/>
            <w:vAlign w:val="center"/>
            <w:hideMark/>
          </w:tcPr>
          <w:p w14:paraId="11316F70" w14:textId="4CB0BB6C"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13,0</w:t>
            </w:r>
          </w:p>
        </w:tc>
        <w:tc>
          <w:tcPr>
            <w:tcW w:w="1332" w:type="dxa"/>
            <w:tcBorders>
              <w:top w:val="nil"/>
              <w:left w:val="nil"/>
              <w:bottom w:val="nil"/>
              <w:right w:val="nil"/>
            </w:tcBorders>
            <w:shd w:val="clear" w:color="auto" w:fill="auto"/>
            <w:noWrap/>
            <w:vAlign w:val="center"/>
            <w:hideMark/>
          </w:tcPr>
          <w:p w14:paraId="308CD9E1"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12,6</w:t>
            </w:r>
          </w:p>
        </w:tc>
      </w:tr>
      <w:tr w:rsidR="0087605E" w:rsidRPr="00A74402" w14:paraId="25F5A42B" w14:textId="77777777" w:rsidTr="0087605E">
        <w:trPr>
          <w:trHeight w:val="124"/>
        </w:trPr>
        <w:tc>
          <w:tcPr>
            <w:tcW w:w="990" w:type="dxa"/>
            <w:tcBorders>
              <w:top w:val="nil"/>
              <w:left w:val="nil"/>
              <w:bottom w:val="nil"/>
              <w:right w:val="nil"/>
            </w:tcBorders>
            <w:shd w:val="clear" w:color="auto" w:fill="auto"/>
            <w:noWrap/>
            <w:vAlign w:val="center"/>
            <w:hideMark/>
          </w:tcPr>
          <w:p w14:paraId="65005D37"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2010</w:t>
            </w:r>
          </w:p>
        </w:tc>
        <w:tc>
          <w:tcPr>
            <w:tcW w:w="962" w:type="dxa"/>
            <w:tcBorders>
              <w:top w:val="nil"/>
              <w:left w:val="nil"/>
              <w:bottom w:val="nil"/>
              <w:right w:val="nil"/>
            </w:tcBorders>
            <w:shd w:val="clear" w:color="000000" w:fill="FFFFFF"/>
            <w:noWrap/>
            <w:vAlign w:val="center"/>
            <w:hideMark/>
          </w:tcPr>
          <w:p w14:paraId="5A04E46A"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21,6</w:t>
            </w:r>
          </w:p>
        </w:tc>
        <w:tc>
          <w:tcPr>
            <w:tcW w:w="1601" w:type="dxa"/>
            <w:tcBorders>
              <w:top w:val="nil"/>
              <w:left w:val="nil"/>
              <w:bottom w:val="nil"/>
              <w:right w:val="nil"/>
            </w:tcBorders>
            <w:shd w:val="clear" w:color="auto" w:fill="auto"/>
            <w:noWrap/>
            <w:vAlign w:val="center"/>
            <w:hideMark/>
          </w:tcPr>
          <w:p w14:paraId="08BBA3C2"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4,6</w:t>
            </w:r>
          </w:p>
        </w:tc>
        <w:tc>
          <w:tcPr>
            <w:tcW w:w="1332" w:type="dxa"/>
            <w:tcBorders>
              <w:top w:val="nil"/>
              <w:left w:val="nil"/>
              <w:bottom w:val="nil"/>
              <w:right w:val="nil"/>
            </w:tcBorders>
          </w:tcPr>
          <w:p w14:paraId="2185F683"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17,0</w:t>
            </w:r>
          </w:p>
        </w:tc>
        <w:tc>
          <w:tcPr>
            <w:tcW w:w="1508" w:type="dxa"/>
            <w:tcBorders>
              <w:top w:val="nil"/>
              <w:left w:val="nil"/>
              <w:bottom w:val="nil"/>
              <w:right w:val="nil"/>
            </w:tcBorders>
            <w:shd w:val="clear" w:color="auto" w:fill="auto"/>
            <w:noWrap/>
            <w:vAlign w:val="center"/>
            <w:hideMark/>
          </w:tcPr>
          <w:p w14:paraId="2B4EB970"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21,1</w:t>
            </w:r>
          </w:p>
        </w:tc>
        <w:tc>
          <w:tcPr>
            <w:tcW w:w="1332" w:type="dxa"/>
            <w:tcBorders>
              <w:top w:val="nil"/>
              <w:left w:val="nil"/>
              <w:bottom w:val="nil"/>
              <w:right w:val="nil"/>
            </w:tcBorders>
            <w:shd w:val="clear" w:color="auto" w:fill="auto"/>
            <w:noWrap/>
            <w:vAlign w:val="center"/>
            <w:hideMark/>
          </w:tcPr>
          <w:p w14:paraId="062CB9DC" w14:textId="7B8CCE02"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15,9</w:t>
            </w:r>
          </w:p>
        </w:tc>
        <w:tc>
          <w:tcPr>
            <w:tcW w:w="1332" w:type="dxa"/>
            <w:tcBorders>
              <w:top w:val="nil"/>
              <w:left w:val="nil"/>
              <w:bottom w:val="nil"/>
              <w:right w:val="nil"/>
            </w:tcBorders>
            <w:shd w:val="clear" w:color="auto" w:fill="auto"/>
            <w:noWrap/>
            <w:vAlign w:val="center"/>
            <w:hideMark/>
          </w:tcPr>
          <w:p w14:paraId="7CE2DAED"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12,2</w:t>
            </w:r>
          </w:p>
        </w:tc>
      </w:tr>
      <w:tr w:rsidR="0087605E" w:rsidRPr="00A74402" w14:paraId="1666D4B4" w14:textId="77777777" w:rsidTr="0087605E">
        <w:trPr>
          <w:trHeight w:val="124"/>
        </w:trPr>
        <w:tc>
          <w:tcPr>
            <w:tcW w:w="990" w:type="dxa"/>
            <w:tcBorders>
              <w:top w:val="nil"/>
              <w:left w:val="nil"/>
              <w:bottom w:val="nil"/>
              <w:right w:val="nil"/>
            </w:tcBorders>
            <w:shd w:val="clear" w:color="auto" w:fill="auto"/>
            <w:noWrap/>
            <w:vAlign w:val="center"/>
            <w:hideMark/>
          </w:tcPr>
          <w:p w14:paraId="5BA7D904"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2011</w:t>
            </w:r>
          </w:p>
        </w:tc>
        <w:tc>
          <w:tcPr>
            <w:tcW w:w="962" w:type="dxa"/>
            <w:tcBorders>
              <w:top w:val="nil"/>
              <w:left w:val="nil"/>
              <w:bottom w:val="nil"/>
              <w:right w:val="nil"/>
            </w:tcBorders>
            <w:shd w:val="clear" w:color="000000" w:fill="FFFFFF"/>
            <w:noWrap/>
            <w:vAlign w:val="center"/>
            <w:hideMark/>
          </w:tcPr>
          <w:p w14:paraId="513D4EA9"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23,1</w:t>
            </w:r>
          </w:p>
        </w:tc>
        <w:tc>
          <w:tcPr>
            <w:tcW w:w="1601" w:type="dxa"/>
            <w:tcBorders>
              <w:top w:val="nil"/>
              <w:left w:val="nil"/>
              <w:bottom w:val="nil"/>
              <w:right w:val="nil"/>
            </w:tcBorders>
            <w:shd w:val="clear" w:color="auto" w:fill="auto"/>
            <w:noWrap/>
            <w:vAlign w:val="center"/>
            <w:hideMark/>
          </w:tcPr>
          <w:p w14:paraId="37FF8BED"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5,2</w:t>
            </w:r>
          </w:p>
        </w:tc>
        <w:tc>
          <w:tcPr>
            <w:tcW w:w="1332" w:type="dxa"/>
            <w:tcBorders>
              <w:top w:val="nil"/>
              <w:left w:val="nil"/>
              <w:bottom w:val="nil"/>
              <w:right w:val="nil"/>
            </w:tcBorders>
          </w:tcPr>
          <w:p w14:paraId="61A7D777"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17,9</w:t>
            </w:r>
          </w:p>
        </w:tc>
        <w:tc>
          <w:tcPr>
            <w:tcW w:w="1508" w:type="dxa"/>
            <w:tcBorders>
              <w:top w:val="nil"/>
              <w:left w:val="nil"/>
              <w:bottom w:val="nil"/>
              <w:right w:val="nil"/>
            </w:tcBorders>
            <w:shd w:val="clear" w:color="auto" w:fill="auto"/>
            <w:noWrap/>
            <w:vAlign w:val="center"/>
            <w:hideMark/>
          </w:tcPr>
          <w:p w14:paraId="7F01DE4C"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22,4</w:t>
            </w:r>
          </w:p>
        </w:tc>
        <w:tc>
          <w:tcPr>
            <w:tcW w:w="1332" w:type="dxa"/>
            <w:tcBorders>
              <w:top w:val="nil"/>
              <w:left w:val="nil"/>
              <w:bottom w:val="nil"/>
              <w:right w:val="nil"/>
            </w:tcBorders>
            <w:shd w:val="clear" w:color="auto" w:fill="auto"/>
            <w:noWrap/>
            <w:vAlign w:val="center"/>
            <w:hideMark/>
          </w:tcPr>
          <w:p w14:paraId="05BA034C" w14:textId="0F69BC3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14,8</w:t>
            </w:r>
          </w:p>
        </w:tc>
        <w:tc>
          <w:tcPr>
            <w:tcW w:w="1332" w:type="dxa"/>
            <w:tcBorders>
              <w:top w:val="nil"/>
              <w:left w:val="nil"/>
              <w:bottom w:val="nil"/>
              <w:right w:val="nil"/>
            </w:tcBorders>
            <w:shd w:val="clear" w:color="auto" w:fill="auto"/>
            <w:noWrap/>
            <w:vAlign w:val="center"/>
            <w:hideMark/>
          </w:tcPr>
          <w:p w14:paraId="4C1D2D7C"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10,9</w:t>
            </w:r>
          </w:p>
        </w:tc>
      </w:tr>
      <w:tr w:rsidR="0087605E" w:rsidRPr="00A74402" w14:paraId="17EF2BB1" w14:textId="77777777" w:rsidTr="0087605E">
        <w:trPr>
          <w:trHeight w:val="140"/>
        </w:trPr>
        <w:tc>
          <w:tcPr>
            <w:tcW w:w="990" w:type="dxa"/>
            <w:tcBorders>
              <w:top w:val="nil"/>
              <w:left w:val="nil"/>
              <w:bottom w:val="nil"/>
              <w:right w:val="nil"/>
            </w:tcBorders>
            <w:shd w:val="clear" w:color="auto" w:fill="auto"/>
            <w:noWrap/>
            <w:vAlign w:val="center"/>
            <w:hideMark/>
          </w:tcPr>
          <w:p w14:paraId="01FAAB07"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2012</w:t>
            </w:r>
          </w:p>
        </w:tc>
        <w:tc>
          <w:tcPr>
            <w:tcW w:w="962" w:type="dxa"/>
            <w:tcBorders>
              <w:top w:val="nil"/>
              <w:left w:val="nil"/>
              <w:bottom w:val="nil"/>
              <w:right w:val="nil"/>
            </w:tcBorders>
            <w:shd w:val="clear" w:color="000000" w:fill="FFFFFF"/>
            <w:noWrap/>
            <w:vAlign w:val="center"/>
            <w:hideMark/>
          </w:tcPr>
          <w:p w14:paraId="087FD069"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24,9</w:t>
            </w:r>
          </w:p>
        </w:tc>
        <w:tc>
          <w:tcPr>
            <w:tcW w:w="1601" w:type="dxa"/>
            <w:tcBorders>
              <w:top w:val="nil"/>
              <w:left w:val="nil"/>
              <w:bottom w:val="nil"/>
              <w:right w:val="nil"/>
            </w:tcBorders>
            <w:shd w:val="clear" w:color="auto" w:fill="auto"/>
            <w:noWrap/>
            <w:vAlign w:val="center"/>
            <w:hideMark/>
          </w:tcPr>
          <w:p w14:paraId="2A6B0DB6"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7,3</w:t>
            </w:r>
          </w:p>
        </w:tc>
        <w:tc>
          <w:tcPr>
            <w:tcW w:w="1332" w:type="dxa"/>
            <w:tcBorders>
              <w:top w:val="nil"/>
              <w:left w:val="nil"/>
              <w:bottom w:val="nil"/>
              <w:right w:val="nil"/>
            </w:tcBorders>
          </w:tcPr>
          <w:p w14:paraId="67F9C71D"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17,6</w:t>
            </w:r>
          </w:p>
        </w:tc>
        <w:tc>
          <w:tcPr>
            <w:tcW w:w="1508" w:type="dxa"/>
            <w:tcBorders>
              <w:top w:val="nil"/>
              <w:left w:val="nil"/>
              <w:bottom w:val="nil"/>
              <w:right w:val="nil"/>
            </w:tcBorders>
            <w:shd w:val="clear" w:color="auto" w:fill="auto"/>
            <w:noWrap/>
            <w:vAlign w:val="center"/>
            <w:hideMark/>
          </w:tcPr>
          <w:p w14:paraId="7458837A"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29,3</w:t>
            </w:r>
          </w:p>
        </w:tc>
        <w:tc>
          <w:tcPr>
            <w:tcW w:w="1332" w:type="dxa"/>
            <w:tcBorders>
              <w:top w:val="nil"/>
              <w:left w:val="nil"/>
              <w:bottom w:val="nil"/>
              <w:right w:val="nil"/>
            </w:tcBorders>
            <w:shd w:val="clear" w:color="auto" w:fill="auto"/>
            <w:noWrap/>
            <w:vAlign w:val="center"/>
            <w:hideMark/>
          </w:tcPr>
          <w:p w14:paraId="02B8E30C" w14:textId="7B8720B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12,5</w:t>
            </w:r>
          </w:p>
        </w:tc>
        <w:tc>
          <w:tcPr>
            <w:tcW w:w="1332" w:type="dxa"/>
            <w:tcBorders>
              <w:top w:val="nil"/>
              <w:left w:val="nil"/>
              <w:bottom w:val="nil"/>
              <w:right w:val="nil"/>
            </w:tcBorders>
            <w:shd w:val="clear" w:color="auto" w:fill="auto"/>
            <w:noWrap/>
            <w:vAlign w:val="center"/>
            <w:hideMark/>
          </w:tcPr>
          <w:p w14:paraId="09EB036D"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10,8</w:t>
            </w:r>
          </w:p>
        </w:tc>
      </w:tr>
      <w:tr w:rsidR="0087605E" w:rsidRPr="00A74402" w14:paraId="27F1FB62" w14:textId="77777777" w:rsidTr="0087605E">
        <w:trPr>
          <w:trHeight w:val="124"/>
        </w:trPr>
        <w:tc>
          <w:tcPr>
            <w:tcW w:w="990" w:type="dxa"/>
            <w:tcBorders>
              <w:top w:val="nil"/>
              <w:left w:val="nil"/>
              <w:bottom w:val="nil"/>
              <w:right w:val="nil"/>
            </w:tcBorders>
            <w:shd w:val="clear" w:color="auto" w:fill="auto"/>
            <w:noWrap/>
            <w:vAlign w:val="center"/>
            <w:hideMark/>
          </w:tcPr>
          <w:p w14:paraId="4D6BED86"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2013</w:t>
            </w:r>
          </w:p>
        </w:tc>
        <w:tc>
          <w:tcPr>
            <w:tcW w:w="962" w:type="dxa"/>
            <w:tcBorders>
              <w:top w:val="nil"/>
              <w:left w:val="nil"/>
              <w:bottom w:val="nil"/>
              <w:right w:val="nil"/>
            </w:tcBorders>
            <w:shd w:val="clear" w:color="000000" w:fill="FFFFFF"/>
            <w:noWrap/>
            <w:vAlign w:val="center"/>
            <w:hideMark/>
          </w:tcPr>
          <w:p w14:paraId="4083FC2B"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24,8</w:t>
            </w:r>
          </w:p>
        </w:tc>
        <w:tc>
          <w:tcPr>
            <w:tcW w:w="1601" w:type="dxa"/>
            <w:tcBorders>
              <w:top w:val="nil"/>
              <w:left w:val="nil"/>
              <w:bottom w:val="nil"/>
              <w:right w:val="nil"/>
            </w:tcBorders>
            <w:shd w:val="clear" w:color="auto" w:fill="auto"/>
            <w:noWrap/>
            <w:vAlign w:val="center"/>
            <w:hideMark/>
          </w:tcPr>
          <w:p w14:paraId="226DCE8C"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7,2</w:t>
            </w:r>
          </w:p>
        </w:tc>
        <w:tc>
          <w:tcPr>
            <w:tcW w:w="1332" w:type="dxa"/>
            <w:tcBorders>
              <w:top w:val="nil"/>
              <w:left w:val="nil"/>
              <w:bottom w:val="nil"/>
              <w:right w:val="nil"/>
            </w:tcBorders>
          </w:tcPr>
          <w:p w14:paraId="69998AED"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17,6</w:t>
            </w:r>
          </w:p>
        </w:tc>
        <w:tc>
          <w:tcPr>
            <w:tcW w:w="1508" w:type="dxa"/>
            <w:tcBorders>
              <w:top w:val="nil"/>
              <w:left w:val="nil"/>
              <w:bottom w:val="nil"/>
              <w:right w:val="nil"/>
            </w:tcBorders>
            <w:shd w:val="clear" w:color="auto" w:fill="auto"/>
            <w:noWrap/>
            <w:vAlign w:val="center"/>
            <w:hideMark/>
          </w:tcPr>
          <w:p w14:paraId="42739D89"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29,1</w:t>
            </w:r>
          </w:p>
        </w:tc>
        <w:tc>
          <w:tcPr>
            <w:tcW w:w="1332" w:type="dxa"/>
            <w:tcBorders>
              <w:top w:val="nil"/>
              <w:left w:val="nil"/>
              <w:bottom w:val="nil"/>
              <w:right w:val="nil"/>
            </w:tcBorders>
            <w:shd w:val="clear" w:color="auto" w:fill="auto"/>
            <w:noWrap/>
            <w:vAlign w:val="center"/>
            <w:hideMark/>
          </w:tcPr>
          <w:p w14:paraId="686F58C6" w14:textId="1848CABE"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11,0</w:t>
            </w:r>
          </w:p>
        </w:tc>
        <w:tc>
          <w:tcPr>
            <w:tcW w:w="1332" w:type="dxa"/>
            <w:tcBorders>
              <w:top w:val="nil"/>
              <w:left w:val="nil"/>
              <w:bottom w:val="nil"/>
              <w:right w:val="nil"/>
            </w:tcBorders>
            <w:shd w:val="clear" w:color="auto" w:fill="auto"/>
            <w:noWrap/>
            <w:vAlign w:val="center"/>
            <w:hideMark/>
          </w:tcPr>
          <w:p w14:paraId="12AD9320"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11,0</w:t>
            </w:r>
          </w:p>
        </w:tc>
      </w:tr>
      <w:tr w:rsidR="0087605E" w:rsidRPr="00A74402" w14:paraId="536B595C" w14:textId="77777777" w:rsidTr="0087605E">
        <w:trPr>
          <w:trHeight w:val="124"/>
        </w:trPr>
        <w:tc>
          <w:tcPr>
            <w:tcW w:w="990" w:type="dxa"/>
            <w:tcBorders>
              <w:top w:val="nil"/>
              <w:left w:val="nil"/>
              <w:bottom w:val="nil"/>
              <w:right w:val="nil"/>
            </w:tcBorders>
            <w:shd w:val="clear" w:color="auto" w:fill="auto"/>
            <w:noWrap/>
            <w:vAlign w:val="center"/>
            <w:hideMark/>
          </w:tcPr>
          <w:p w14:paraId="0945A064"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2014</w:t>
            </w:r>
          </w:p>
        </w:tc>
        <w:tc>
          <w:tcPr>
            <w:tcW w:w="962" w:type="dxa"/>
            <w:tcBorders>
              <w:top w:val="nil"/>
              <w:left w:val="nil"/>
              <w:bottom w:val="nil"/>
              <w:right w:val="nil"/>
            </w:tcBorders>
            <w:shd w:val="clear" w:color="000000" w:fill="FFFFFF"/>
            <w:noWrap/>
            <w:vAlign w:val="center"/>
            <w:hideMark/>
          </w:tcPr>
          <w:p w14:paraId="4F26E23C"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23,8</w:t>
            </w:r>
          </w:p>
        </w:tc>
        <w:tc>
          <w:tcPr>
            <w:tcW w:w="1601" w:type="dxa"/>
            <w:tcBorders>
              <w:top w:val="nil"/>
              <w:left w:val="nil"/>
              <w:bottom w:val="nil"/>
              <w:right w:val="nil"/>
            </w:tcBorders>
            <w:shd w:val="clear" w:color="auto" w:fill="auto"/>
            <w:noWrap/>
            <w:vAlign w:val="center"/>
            <w:hideMark/>
          </w:tcPr>
          <w:p w14:paraId="21C203B2"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6,3</w:t>
            </w:r>
          </w:p>
        </w:tc>
        <w:tc>
          <w:tcPr>
            <w:tcW w:w="1332" w:type="dxa"/>
            <w:tcBorders>
              <w:top w:val="nil"/>
              <w:left w:val="nil"/>
              <w:bottom w:val="nil"/>
              <w:right w:val="nil"/>
            </w:tcBorders>
          </w:tcPr>
          <w:p w14:paraId="2B148CB9"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17,5</w:t>
            </w:r>
          </w:p>
        </w:tc>
        <w:tc>
          <w:tcPr>
            <w:tcW w:w="1508" w:type="dxa"/>
            <w:tcBorders>
              <w:top w:val="nil"/>
              <w:left w:val="nil"/>
              <w:bottom w:val="nil"/>
              <w:right w:val="nil"/>
            </w:tcBorders>
            <w:shd w:val="clear" w:color="auto" w:fill="auto"/>
            <w:noWrap/>
            <w:vAlign w:val="center"/>
            <w:hideMark/>
          </w:tcPr>
          <w:p w14:paraId="4E674C81"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26,5</w:t>
            </w:r>
          </w:p>
        </w:tc>
        <w:tc>
          <w:tcPr>
            <w:tcW w:w="1332" w:type="dxa"/>
            <w:tcBorders>
              <w:top w:val="nil"/>
              <w:left w:val="nil"/>
              <w:bottom w:val="nil"/>
              <w:right w:val="nil"/>
            </w:tcBorders>
            <w:shd w:val="clear" w:color="auto" w:fill="auto"/>
            <w:noWrap/>
            <w:vAlign w:val="center"/>
            <w:hideMark/>
          </w:tcPr>
          <w:p w14:paraId="6BEECCA6" w14:textId="1941BD8C"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10,9</w:t>
            </w:r>
          </w:p>
        </w:tc>
        <w:tc>
          <w:tcPr>
            <w:tcW w:w="1332" w:type="dxa"/>
            <w:tcBorders>
              <w:top w:val="nil"/>
              <w:left w:val="nil"/>
              <w:bottom w:val="nil"/>
              <w:right w:val="nil"/>
            </w:tcBorders>
            <w:shd w:val="clear" w:color="auto" w:fill="auto"/>
            <w:noWrap/>
            <w:vAlign w:val="center"/>
            <w:hideMark/>
          </w:tcPr>
          <w:p w14:paraId="432DE9B3"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11,0</w:t>
            </w:r>
          </w:p>
        </w:tc>
      </w:tr>
      <w:tr w:rsidR="0087605E" w:rsidRPr="00A74402" w14:paraId="3FA70EEB" w14:textId="77777777" w:rsidTr="0087605E">
        <w:trPr>
          <w:trHeight w:val="124"/>
        </w:trPr>
        <w:tc>
          <w:tcPr>
            <w:tcW w:w="990" w:type="dxa"/>
            <w:tcBorders>
              <w:top w:val="nil"/>
              <w:left w:val="nil"/>
              <w:bottom w:val="nil"/>
              <w:right w:val="nil"/>
            </w:tcBorders>
            <w:shd w:val="clear" w:color="auto" w:fill="auto"/>
            <w:noWrap/>
            <w:vAlign w:val="center"/>
            <w:hideMark/>
          </w:tcPr>
          <w:p w14:paraId="584FF663"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2015</w:t>
            </w:r>
          </w:p>
        </w:tc>
        <w:tc>
          <w:tcPr>
            <w:tcW w:w="962" w:type="dxa"/>
            <w:tcBorders>
              <w:top w:val="nil"/>
              <w:left w:val="nil"/>
              <w:bottom w:val="nil"/>
              <w:right w:val="nil"/>
            </w:tcBorders>
            <w:shd w:val="clear" w:color="000000" w:fill="FFFFFF"/>
            <w:noWrap/>
            <w:vAlign w:val="center"/>
            <w:hideMark/>
          </w:tcPr>
          <w:p w14:paraId="0EAC1740"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23,8</w:t>
            </w:r>
          </w:p>
        </w:tc>
        <w:tc>
          <w:tcPr>
            <w:tcW w:w="1601" w:type="dxa"/>
            <w:tcBorders>
              <w:top w:val="nil"/>
              <w:left w:val="nil"/>
              <w:bottom w:val="nil"/>
              <w:right w:val="nil"/>
            </w:tcBorders>
            <w:shd w:val="clear" w:color="auto" w:fill="auto"/>
            <w:noWrap/>
            <w:vAlign w:val="center"/>
            <w:hideMark/>
          </w:tcPr>
          <w:p w14:paraId="7B049936"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4,9</w:t>
            </w:r>
          </w:p>
        </w:tc>
        <w:tc>
          <w:tcPr>
            <w:tcW w:w="1332" w:type="dxa"/>
            <w:tcBorders>
              <w:top w:val="nil"/>
              <w:left w:val="nil"/>
              <w:bottom w:val="nil"/>
              <w:right w:val="nil"/>
            </w:tcBorders>
          </w:tcPr>
          <w:p w14:paraId="7A7697D6"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18,9</w:t>
            </w:r>
          </w:p>
        </w:tc>
        <w:tc>
          <w:tcPr>
            <w:tcW w:w="1508" w:type="dxa"/>
            <w:tcBorders>
              <w:top w:val="nil"/>
              <w:left w:val="nil"/>
              <w:bottom w:val="nil"/>
              <w:right w:val="nil"/>
            </w:tcBorders>
            <w:shd w:val="clear" w:color="auto" w:fill="auto"/>
            <w:noWrap/>
            <w:vAlign w:val="center"/>
            <w:hideMark/>
          </w:tcPr>
          <w:p w14:paraId="32ABEA40"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20,8</w:t>
            </w:r>
          </w:p>
        </w:tc>
        <w:tc>
          <w:tcPr>
            <w:tcW w:w="1332" w:type="dxa"/>
            <w:tcBorders>
              <w:top w:val="nil"/>
              <w:left w:val="nil"/>
              <w:bottom w:val="nil"/>
              <w:right w:val="nil"/>
            </w:tcBorders>
            <w:shd w:val="clear" w:color="auto" w:fill="auto"/>
            <w:noWrap/>
            <w:vAlign w:val="center"/>
            <w:hideMark/>
          </w:tcPr>
          <w:p w14:paraId="08465652" w14:textId="56F4288B"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 xml:space="preserve">  8,6</w:t>
            </w:r>
          </w:p>
        </w:tc>
        <w:tc>
          <w:tcPr>
            <w:tcW w:w="1332" w:type="dxa"/>
            <w:tcBorders>
              <w:top w:val="nil"/>
              <w:left w:val="nil"/>
              <w:bottom w:val="nil"/>
              <w:right w:val="nil"/>
            </w:tcBorders>
            <w:shd w:val="clear" w:color="auto" w:fill="auto"/>
            <w:noWrap/>
            <w:vAlign w:val="center"/>
            <w:hideMark/>
          </w:tcPr>
          <w:p w14:paraId="0D6A3CB1"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10,7</w:t>
            </w:r>
          </w:p>
        </w:tc>
      </w:tr>
      <w:tr w:rsidR="0087605E" w:rsidRPr="00A74402" w14:paraId="1A69D1EA" w14:textId="77777777" w:rsidTr="0087605E">
        <w:trPr>
          <w:trHeight w:val="124"/>
        </w:trPr>
        <w:tc>
          <w:tcPr>
            <w:tcW w:w="990" w:type="dxa"/>
            <w:tcBorders>
              <w:top w:val="nil"/>
              <w:left w:val="nil"/>
              <w:bottom w:val="nil"/>
              <w:right w:val="nil"/>
            </w:tcBorders>
            <w:shd w:val="clear" w:color="auto" w:fill="auto"/>
            <w:noWrap/>
            <w:vAlign w:val="center"/>
            <w:hideMark/>
          </w:tcPr>
          <w:p w14:paraId="06F42531"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2016</w:t>
            </w:r>
          </w:p>
        </w:tc>
        <w:tc>
          <w:tcPr>
            <w:tcW w:w="962" w:type="dxa"/>
            <w:tcBorders>
              <w:top w:val="nil"/>
              <w:left w:val="nil"/>
              <w:bottom w:val="nil"/>
              <w:right w:val="nil"/>
            </w:tcBorders>
            <w:shd w:val="clear" w:color="000000" w:fill="FFFFFF"/>
            <w:noWrap/>
            <w:vAlign w:val="center"/>
            <w:hideMark/>
          </w:tcPr>
          <w:p w14:paraId="5F4377C7"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22,9</w:t>
            </w:r>
          </w:p>
        </w:tc>
        <w:tc>
          <w:tcPr>
            <w:tcW w:w="1601" w:type="dxa"/>
            <w:tcBorders>
              <w:top w:val="nil"/>
              <w:left w:val="nil"/>
              <w:bottom w:val="nil"/>
              <w:right w:val="nil"/>
            </w:tcBorders>
            <w:shd w:val="clear" w:color="auto" w:fill="auto"/>
            <w:noWrap/>
            <w:vAlign w:val="center"/>
            <w:hideMark/>
          </w:tcPr>
          <w:p w14:paraId="3A57093A"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4,1</w:t>
            </w:r>
          </w:p>
        </w:tc>
        <w:tc>
          <w:tcPr>
            <w:tcW w:w="1332" w:type="dxa"/>
            <w:tcBorders>
              <w:top w:val="nil"/>
              <w:left w:val="nil"/>
              <w:bottom w:val="nil"/>
              <w:right w:val="nil"/>
            </w:tcBorders>
          </w:tcPr>
          <w:p w14:paraId="3809BA2E"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18,8</w:t>
            </w:r>
          </w:p>
        </w:tc>
        <w:tc>
          <w:tcPr>
            <w:tcW w:w="1508" w:type="dxa"/>
            <w:tcBorders>
              <w:top w:val="nil"/>
              <w:left w:val="nil"/>
              <w:bottom w:val="nil"/>
              <w:right w:val="nil"/>
            </w:tcBorders>
            <w:shd w:val="clear" w:color="auto" w:fill="auto"/>
            <w:noWrap/>
            <w:vAlign w:val="center"/>
            <w:hideMark/>
          </w:tcPr>
          <w:p w14:paraId="683854D2"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17,8</w:t>
            </w:r>
          </w:p>
        </w:tc>
        <w:tc>
          <w:tcPr>
            <w:tcW w:w="1332" w:type="dxa"/>
            <w:tcBorders>
              <w:top w:val="nil"/>
              <w:left w:val="nil"/>
              <w:bottom w:val="nil"/>
              <w:right w:val="nil"/>
            </w:tcBorders>
            <w:shd w:val="clear" w:color="auto" w:fill="auto"/>
            <w:noWrap/>
            <w:vAlign w:val="center"/>
            <w:hideMark/>
          </w:tcPr>
          <w:p w14:paraId="541ADB86" w14:textId="549EFBD6"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 xml:space="preserve">  8,1</w:t>
            </w:r>
          </w:p>
        </w:tc>
        <w:tc>
          <w:tcPr>
            <w:tcW w:w="1332" w:type="dxa"/>
            <w:tcBorders>
              <w:top w:val="nil"/>
              <w:left w:val="nil"/>
              <w:bottom w:val="nil"/>
              <w:right w:val="nil"/>
            </w:tcBorders>
            <w:shd w:val="clear" w:color="auto" w:fill="auto"/>
            <w:noWrap/>
            <w:vAlign w:val="center"/>
            <w:hideMark/>
          </w:tcPr>
          <w:p w14:paraId="2564785A"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10,3</w:t>
            </w:r>
          </w:p>
        </w:tc>
      </w:tr>
      <w:tr w:rsidR="0087605E" w:rsidRPr="00A74402" w14:paraId="15F259B0" w14:textId="77777777" w:rsidTr="0087605E">
        <w:trPr>
          <w:trHeight w:val="124"/>
        </w:trPr>
        <w:tc>
          <w:tcPr>
            <w:tcW w:w="990" w:type="dxa"/>
            <w:tcBorders>
              <w:top w:val="nil"/>
              <w:left w:val="nil"/>
              <w:bottom w:val="single" w:sz="4" w:space="0" w:color="auto"/>
              <w:right w:val="nil"/>
            </w:tcBorders>
            <w:shd w:val="clear" w:color="auto" w:fill="auto"/>
            <w:noWrap/>
            <w:vAlign w:val="center"/>
            <w:hideMark/>
          </w:tcPr>
          <w:p w14:paraId="68A6C0D7"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2017</w:t>
            </w:r>
          </w:p>
        </w:tc>
        <w:tc>
          <w:tcPr>
            <w:tcW w:w="962" w:type="dxa"/>
            <w:tcBorders>
              <w:top w:val="nil"/>
              <w:left w:val="nil"/>
              <w:bottom w:val="single" w:sz="4" w:space="0" w:color="auto"/>
              <w:right w:val="nil"/>
            </w:tcBorders>
            <w:shd w:val="clear" w:color="auto" w:fill="auto"/>
            <w:noWrap/>
            <w:vAlign w:val="center"/>
            <w:hideMark/>
          </w:tcPr>
          <w:p w14:paraId="6040F935"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21,6</w:t>
            </w:r>
          </w:p>
        </w:tc>
        <w:tc>
          <w:tcPr>
            <w:tcW w:w="1601" w:type="dxa"/>
            <w:tcBorders>
              <w:top w:val="nil"/>
              <w:left w:val="nil"/>
              <w:bottom w:val="single" w:sz="4" w:space="0" w:color="auto"/>
              <w:right w:val="nil"/>
            </w:tcBorders>
            <w:shd w:val="clear" w:color="auto" w:fill="auto"/>
            <w:noWrap/>
            <w:vAlign w:val="center"/>
            <w:hideMark/>
          </w:tcPr>
          <w:p w14:paraId="37A53ED2"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w:t>
            </w:r>
          </w:p>
        </w:tc>
        <w:tc>
          <w:tcPr>
            <w:tcW w:w="1332" w:type="dxa"/>
            <w:tcBorders>
              <w:top w:val="nil"/>
              <w:left w:val="nil"/>
              <w:bottom w:val="single" w:sz="4" w:space="0" w:color="auto"/>
              <w:right w:val="nil"/>
            </w:tcBorders>
          </w:tcPr>
          <w:p w14:paraId="5967CC97"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w:t>
            </w:r>
          </w:p>
        </w:tc>
        <w:tc>
          <w:tcPr>
            <w:tcW w:w="1508" w:type="dxa"/>
            <w:tcBorders>
              <w:top w:val="nil"/>
              <w:left w:val="nil"/>
              <w:bottom w:val="single" w:sz="4" w:space="0" w:color="auto"/>
              <w:right w:val="nil"/>
            </w:tcBorders>
            <w:shd w:val="clear" w:color="auto" w:fill="auto"/>
            <w:noWrap/>
            <w:vAlign w:val="center"/>
            <w:hideMark/>
          </w:tcPr>
          <w:p w14:paraId="7E208F93"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w:t>
            </w:r>
          </w:p>
        </w:tc>
        <w:tc>
          <w:tcPr>
            <w:tcW w:w="1332" w:type="dxa"/>
            <w:tcBorders>
              <w:top w:val="nil"/>
              <w:left w:val="nil"/>
              <w:bottom w:val="single" w:sz="4" w:space="0" w:color="auto"/>
              <w:right w:val="nil"/>
            </w:tcBorders>
            <w:shd w:val="clear" w:color="auto" w:fill="auto"/>
            <w:noWrap/>
            <w:vAlign w:val="center"/>
            <w:hideMark/>
          </w:tcPr>
          <w:p w14:paraId="4230E89F" w14:textId="3CC8BD29"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10,1</w:t>
            </w:r>
          </w:p>
        </w:tc>
        <w:tc>
          <w:tcPr>
            <w:tcW w:w="1332" w:type="dxa"/>
            <w:tcBorders>
              <w:top w:val="nil"/>
              <w:left w:val="nil"/>
              <w:bottom w:val="single" w:sz="4" w:space="0" w:color="auto"/>
              <w:right w:val="nil"/>
            </w:tcBorders>
            <w:shd w:val="clear" w:color="auto" w:fill="auto"/>
            <w:noWrap/>
            <w:vAlign w:val="center"/>
            <w:hideMark/>
          </w:tcPr>
          <w:p w14:paraId="6958FD17" w14:textId="0151A5EC"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 xml:space="preserve">  9,9</w:t>
            </w:r>
          </w:p>
        </w:tc>
      </w:tr>
      <w:tr w:rsidR="0087605E" w:rsidRPr="00A74402" w14:paraId="03F430D2" w14:textId="77777777" w:rsidTr="0087605E">
        <w:trPr>
          <w:trHeight w:val="193"/>
        </w:trPr>
        <w:tc>
          <w:tcPr>
            <w:tcW w:w="990" w:type="dxa"/>
            <w:tcBorders>
              <w:top w:val="single" w:sz="4" w:space="0" w:color="auto"/>
              <w:left w:val="nil"/>
              <w:bottom w:val="nil"/>
              <w:right w:val="nil"/>
            </w:tcBorders>
            <w:shd w:val="clear" w:color="auto" w:fill="auto"/>
            <w:noWrap/>
            <w:vAlign w:val="center"/>
          </w:tcPr>
          <w:p w14:paraId="0D6771DC"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2003-07</w:t>
            </w:r>
          </w:p>
        </w:tc>
        <w:tc>
          <w:tcPr>
            <w:tcW w:w="962" w:type="dxa"/>
            <w:tcBorders>
              <w:top w:val="single" w:sz="4" w:space="0" w:color="auto"/>
              <w:left w:val="nil"/>
              <w:bottom w:val="nil"/>
              <w:right w:val="nil"/>
            </w:tcBorders>
            <w:shd w:val="clear" w:color="auto" w:fill="auto"/>
            <w:noWrap/>
            <w:vAlign w:val="center"/>
          </w:tcPr>
          <w:p w14:paraId="5487ABE2"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20,8</w:t>
            </w:r>
          </w:p>
        </w:tc>
        <w:tc>
          <w:tcPr>
            <w:tcW w:w="1601" w:type="dxa"/>
            <w:tcBorders>
              <w:top w:val="single" w:sz="4" w:space="0" w:color="auto"/>
              <w:left w:val="nil"/>
              <w:bottom w:val="nil"/>
              <w:right w:val="nil"/>
            </w:tcBorders>
            <w:shd w:val="clear" w:color="auto" w:fill="auto"/>
            <w:noWrap/>
            <w:vAlign w:val="center"/>
          </w:tcPr>
          <w:p w14:paraId="73D9E852"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3,0</w:t>
            </w:r>
          </w:p>
        </w:tc>
        <w:tc>
          <w:tcPr>
            <w:tcW w:w="1332" w:type="dxa"/>
            <w:tcBorders>
              <w:top w:val="single" w:sz="4" w:space="0" w:color="auto"/>
              <w:left w:val="nil"/>
              <w:bottom w:val="nil"/>
              <w:right w:val="nil"/>
            </w:tcBorders>
          </w:tcPr>
          <w:p w14:paraId="09B28F39"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17,8</w:t>
            </w:r>
          </w:p>
        </w:tc>
        <w:tc>
          <w:tcPr>
            <w:tcW w:w="1508" w:type="dxa"/>
            <w:tcBorders>
              <w:top w:val="single" w:sz="4" w:space="0" w:color="auto"/>
              <w:left w:val="nil"/>
              <w:bottom w:val="nil"/>
              <w:right w:val="nil"/>
            </w:tcBorders>
            <w:shd w:val="clear" w:color="auto" w:fill="auto"/>
            <w:noWrap/>
            <w:vAlign w:val="center"/>
          </w:tcPr>
          <w:p w14:paraId="222D33E2"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14,5</w:t>
            </w:r>
          </w:p>
        </w:tc>
        <w:tc>
          <w:tcPr>
            <w:tcW w:w="1332" w:type="dxa"/>
            <w:tcBorders>
              <w:top w:val="single" w:sz="4" w:space="0" w:color="auto"/>
              <w:left w:val="nil"/>
              <w:bottom w:val="nil"/>
              <w:right w:val="nil"/>
            </w:tcBorders>
            <w:shd w:val="clear" w:color="auto" w:fill="auto"/>
            <w:noWrap/>
            <w:vAlign w:val="center"/>
          </w:tcPr>
          <w:p w14:paraId="3B2C2517" w14:textId="3219B248"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15,3</w:t>
            </w:r>
          </w:p>
        </w:tc>
        <w:tc>
          <w:tcPr>
            <w:tcW w:w="1332" w:type="dxa"/>
            <w:tcBorders>
              <w:top w:val="single" w:sz="4" w:space="0" w:color="auto"/>
              <w:left w:val="nil"/>
              <w:bottom w:val="nil"/>
              <w:right w:val="nil"/>
            </w:tcBorders>
            <w:shd w:val="clear" w:color="auto" w:fill="auto"/>
            <w:noWrap/>
            <w:vAlign w:val="center"/>
          </w:tcPr>
          <w:p w14:paraId="2797C1D8"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14,7</w:t>
            </w:r>
          </w:p>
        </w:tc>
      </w:tr>
      <w:tr w:rsidR="0087605E" w:rsidRPr="00A74402" w14:paraId="736CEB90" w14:textId="77777777" w:rsidTr="0087605E">
        <w:trPr>
          <w:trHeight w:val="134"/>
        </w:trPr>
        <w:tc>
          <w:tcPr>
            <w:tcW w:w="990" w:type="dxa"/>
            <w:tcBorders>
              <w:top w:val="nil"/>
              <w:left w:val="nil"/>
              <w:bottom w:val="nil"/>
              <w:right w:val="nil"/>
            </w:tcBorders>
            <w:shd w:val="clear" w:color="auto" w:fill="auto"/>
            <w:noWrap/>
            <w:vAlign w:val="center"/>
          </w:tcPr>
          <w:p w14:paraId="4A01A85A" w14:textId="77777777" w:rsidR="0087605E" w:rsidRPr="00A74402" w:rsidRDefault="0087605E" w:rsidP="00565201">
            <w:pPr>
              <w:spacing w:line="240" w:lineRule="auto"/>
              <w:jc w:val="center"/>
              <w:rPr>
                <w:rFonts w:ascii="Times New Roman" w:eastAsia="Times New Roman" w:hAnsi="Times New Roman" w:cs="Times New Roman"/>
                <w:color w:val="000000"/>
                <w:highlight w:val="yellow"/>
                <w:lang w:val="en-US"/>
              </w:rPr>
            </w:pPr>
            <w:r w:rsidRPr="00A74402">
              <w:rPr>
                <w:rFonts w:ascii="Times New Roman" w:eastAsia="Times New Roman" w:hAnsi="Times New Roman" w:cs="Times New Roman"/>
                <w:color w:val="000000"/>
                <w:lang w:val="en-US"/>
              </w:rPr>
              <w:t>2010-14</w:t>
            </w:r>
          </w:p>
        </w:tc>
        <w:tc>
          <w:tcPr>
            <w:tcW w:w="962" w:type="dxa"/>
            <w:tcBorders>
              <w:top w:val="nil"/>
              <w:left w:val="nil"/>
              <w:bottom w:val="nil"/>
              <w:right w:val="nil"/>
            </w:tcBorders>
            <w:shd w:val="clear" w:color="auto" w:fill="auto"/>
            <w:noWrap/>
            <w:vAlign w:val="center"/>
          </w:tcPr>
          <w:p w14:paraId="3CA46A26"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23,6</w:t>
            </w:r>
          </w:p>
        </w:tc>
        <w:tc>
          <w:tcPr>
            <w:tcW w:w="1601" w:type="dxa"/>
            <w:tcBorders>
              <w:top w:val="nil"/>
              <w:left w:val="nil"/>
              <w:bottom w:val="nil"/>
              <w:right w:val="nil"/>
            </w:tcBorders>
            <w:shd w:val="clear" w:color="auto" w:fill="auto"/>
            <w:noWrap/>
            <w:vAlign w:val="center"/>
          </w:tcPr>
          <w:p w14:paraId="0A890B66"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6,1</w:t>
            </w:r>
          </w:p>
        </w:tc>
        <w:tc>
          <w:tcPr>
            <w:tcW w:w="1332" w:type="dxa"/>
            <w:tcBorders>
              <w:top w:val="nil"/>
              <w:left w:val="nil"/>
              <w:bottom w:val="nil"/>
              <w:right w:val="nil"/>
            </w:tcBorders>
          </w:tcPr>
          <w:p w14:paraId="4687087E"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17,5</w:t>
            </w:r>
          </w:p>
        </w:tc>
        <w:tc>
          <w:tcPr>
            <w:tcW w:w="1508" w:type="dxa"/>
            <w:tcBorders>
              <w:top w:val="nil"/>
              <w:left w:val="nil"/>
              <w:bottom w:val="nil"/>
              <w:right w:val="nil"/>
            </w:tcBorders>
            <w:shd w:val="clear" w:color="auto" w:fill="auto"/>
            <w:noWrap/>
            <w:vAlign w:val="center"/>
          </w:tcPr>
          <w:p w14:paraId="455DABB4"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25,7</w:t>
            </w:r>
          </w:p>
        </w:tc>
        <w:tc>
          <w:tcPr>
            <w:tcW w:w="1332" w:type="dxa"/>
            <w:tcBorders>
              <w:top w:val="nil"/>
              <w:left w:val="nil"/>
              <w:bottom w:val="nil"/>
              <w:right w:val="nil"/>
            </w:tcBorders>
            <w:shd w:val="clear" w:color="auto" w:fill="auto"/>
            <w:noWrap/>
            <w:vAlign w:val="center"/>
          </w:tcPr>
          <w:p w14:paraId="359101BE" w14:textId="0FFF936B"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13,0</w:t>
            </w:r>
          </w:p>
        </w:tc>
        <w:tc>
          <w:tcPr>
            <w:tcW w:w="1332" w:type="dxa"/>
            <w:tcBorders>
              <w:top w:val="nil"/>
              <w:left w:val="nil"/>
              <w:bottom w:val="nil"/>
              <w:right w:val="nil"/>
            </w:tcBorders>
            <w:shd w:val="clear" w:color="auto" w:fill="auto"/>
            <w:noWrap/>
            <w:vAlign w:val="center"/>
          </w:tcPr>
          <w:p w14:paraId="16FC9856"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11,2</w:t>
            </w:r>
          </w:p>
        </w:tc>
      </w:tr>
      <w:tr w:rsidR="0087605E" w:rsidRPr="00A74402" w14:paraId="0274E0FC" w14:textId="77777777" w:rsidTr="0087605E">
        <w:trPr>
          <w:trHeight w:val="134"/>
        </w:trPr>
        <w:tc>
          <w:tcPr>
            <w:tcW w:w="990" w:type="dxa"/>
            <w:tcBorders>
              <w:top w:val="nil"/>
              <w:left w:val="nil"/>
              <w:bottom w:val="single" w:sz="4" w:space="0" w:color="auto"/>
              <w:right w:val="nil"/>
            </w:tcBorders>
            <w:shd w:val="clear" w:color="auto" w:fill="auto"/>
            <w:noWrap/>
            <w:vAlign w:val="center"/>
          </w:tcPr>
          <w:p w14:paraId="3495E8BA" w14:textId="44A0499B" w:rsidR="0087605E" w:rsidRPr="00A74402" w:rsidRDefault="0087605E" w:rsidP="00733C13">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2015-17</w:t>
            </w:r>
          </w:p>
        </w:tc>
        <w:tc>
          <w:tcPr>
            <w:tcW w:w="962" w:type="dxa"/>
            <w:tcBorders>
              <w:top w:val="nil"/>
              <w:left w:val="nil"/>
              <w:bottom w:val="single" w:sz="4" w:space="0" w:color="auto"/>
              <w:right w:val="nil"/>
            </w:tcBorders>
            <w:shd w:val="clear" w:color="auto" w:fill="auto"/>
            <w:noWrap/>
            <w:vAlign w:val="center"/>
          </w:tcPr>
          <w:p w14:paraId="760DF352"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22,2</w:t>
            </w:r>
          </w:p>
        </w:tc>
        <w:tc>
          <w:tcPr>
            <w:tcW w:w="1601" w:type="dxa"/>
            <w:tcBorders>
              <w:top w:val="nil"/>
              <w:left w:val="nil"/>
              <w:bottom w:val="single" w:sz="4" w:space="0" w:color="auto"/>
              <w:right w:val="nil"/>
            </w:tcBorders>
            <w:shd w:val="clear" w:color="auto" w:fill="auto"/>
            <w:noWrap/>
            <w:vAlign w:val="center"/>
          </w:tcPr>
          <w:p w14:paraId="103C8322"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 xml:space="preserve">  4,1*</w:t>
            </w:r>
          </w:p>
        </w:tc>
        <w:tc>
          <w:tcPr>
            <w:tcW w:w="1332" w:type="dxa"/>
            <w:tcBorders>
              <w:top w:val="nil"/>
              <w:left w:val="nil"/>
              <w:bottom w:val="single" w:sz="4" w:space="0" w:color="auto"/>
              <w:right w:val="nil"/>
            </w:tcBorders>
          </w:tcPr>
          <w:p w14:paraId="7C7F6A04"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 xml:space="preserve">  18,8*</w:t>
            </w:r>
          </w:p>
        </w:tc>
        <w:tc>
          <w:tcPr>
            <w:tcW w:w="1508" w:type="dxa"/>
            <w:tcBorders>
              <w:top w:val="nil"/>
              <w:left w:val="nil"/>
              <w:bottom w:val="single" w:sz="4" w:space="0" w:color="auto"/>
              <w:right w:val="nil"/>
            </w:tcBorders>
            <w:shd w:val="clear" w:color="auto" w:fill="auto"/>
            <w:noWrap/>
            <w:vAlign w:val="center"/>
          </w:tcPr>
          <w:p w14:paraId="3F132446"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 xml:space="preserve">  17,8*</w:t>
            </w:r>
          </w:p>
        </w:tc>
        <w:tc>
          <w:tcPr>
            <w:tcW w:w="1332" w:type="dxa"/>
            <w:tcBorders>
              <w:top w:val="nil"/>
              <w:left w:val="nil"/>
              <w:bottom w:val="single" w:sz="4" w:space="0" w:color="auto"/>
              <w:right w:val="nil"/>
            </w:tcBorders>
            <w:shd w:val="clear" w:color="auto" w:fill="auto"/>
            <w:noWrap/>
            <w:vAlign w:val="center"/>
          </w:tcPr>
          <w:p w14:paraId="5C635EFB" w14:textId="2C35D72E"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 xml:space="preserve">  9,1</w:t>
            </w:r>
          </w:p>
        </w:tc>
        <w:tc>
          <w:tcPr>
            <w:tcW w:w="1332" w:type="dxa"/>
            <w:tcBorders>
              <w:top w:val="nil"/>
              <w:left w:val="nil"/>
              <w:bottom w:val="single" w:sz="4" w:space="0" w:color="auto"/>
              <w:right w:val="nil"/>
            </w:tcBorders>
            <w:shd w:val="clear" w:color="auto" w:fill="auto"/>
            <w:noWrap/>
            <w:vAlign w:val="center"/>
          </w:tcPr>
          <w:p w14:paraId="6B3F9CF2" w14:textId="77777777" w:rsidR="0087605E" w:rsidRPr="00A74402" w:rsidRDefault="0087605E" w:rsidP="00565201">
            <w:pPr>
              <w:spacing w:line="240" w:lineRule="auto"/>
              <w:jc w:val="center"/>
              <w:rPr>
                <w:rFonts w:ascii="Times New Roman" w:eastAsia="Times New Roman" w:hAnsi="Times New Roman" w:cs="Times New Roman"/>
                <w:color w:val="000000"/>
                <w:lang w:val="en-US"/>
              </w:rPr>
            </w:pPr>
            <w:r w:rsidRPr="00A74402">
              <w:rPr>
                <w:rFonts w:ascii="Times New Roman" w:eastAsia="Times New Roman" w:hAnsi="Times New Roman" w:cs="Times New Roman"/>
                <w:color w:val="000000"/>
                <w:lang w:val="en-US"/>
              </w:rPr>
              <w:t>10,1</w:t>
            </w:r>
          </w:p>
        </w:tc>
      </w:tr>
    </w:tbl>
    <w:bookmarkEnd w:id="1"/>
    <w:p w14:paraId="58E7DAC5" w14:textId="3A2D8F5F" w:rsidR="00565201" w:rsidRPr="00A74402" w:rsidRDefault="00565201" w:rsidP="00565201">
      <w:pPr>
        <w:ind w:left="144" w:right="144"/>
        <w:jc w:val="center"/>
        <w:rPr>
          <w:rFonts w:ascii="Times New Roman" w:hAnsi="Times New Roman" w:cs="Times New Roman"/>
          <w:sz w:val="24"/>
          <w:szCs w:val="24"/>
          <w:lang w:val="es-ES_tradnl"/>
        </w:rPr>
      </w:pPr>
      <w:r w:rsidRPr="00A74402">
        <w:rPr>
          <w:rFonts w:ascii="Times New Roman" w:hAnsi="Times New Roman" w:cs="Times New Roman"/>
          <w:lang w:val="es-ES_tradnl"/>
        </w:rPr>
        <w:t xml:space="preserve"> </w:t>
      </w:r>
      <w:r w:rsidRPr="00A74402">
        <w:rPr>
          <w:rFonts w:ascii="Times New Roman" w:hAnsi="Times New Roman" w:cs="Times New Roman"/>
          <w:sz w:val="24"/>
          <w:szCs w:val="24"/>
          <w:lang w:val="es-ES_tradnl"/>
        </w:rPr>
        <w:t>(</w:t>
      </w:r>
      <w:r w:rsidR="00EF6AD2" w:rsidRPr="00A74402">
        <w:rPr>
          <w:rFonts w:ascii="Times New Roman" w:hAnsi="Times New Roman" w:cs="Times New Roman"/>
          <w:sz w:val="24"/>
          <w:szCs w:val="24"/>
          <w:lang w:val="es-ES_tradnl"/>
        </w:rPr>
        <w:t xml:space="preserve">a </w:t>
      </w:r>
      <w:r w:rsidRPr="00A74402">
        <w:rPr>
          <w:rFonts w:ascii="Times New Roman" w:hAnsi="Times New Roman" w:cs="Times New Roman"/>
          <w:sz w:val="24"/>
          <w:szCs w:val="24"/>
          <w:lang w:val="es-ES_tradnl"/>
        </w:rPr>
        <w:t>precios corrientes</w:t>
      </w:r>
      <w:r w:rsidR="00743CC7" w:rsidRPr="00A74402">
        <w:rPr>
          <w:rFonts w:ascii="Times New Roman" w:hAnsi="Times New Roman" w:cs="Times New Roman"/>
          <w:sz w:val="24"/>
          <w:szCs w:val="24"/>
          <w:lang w:val="es-ES_tradnl"/>
        </w:rPr>
        <w:t>,</w:t>
      </w:r>
      <w:r w:rsidRPr="00A74402">
        <w:rPr>
          <w:rFonts w:ascii="Times New Roman" w:hAnsi="Times New Roman" w:cs="Times New Roman"/>
          <w:sz w:val="24"/>
          <w:szCs w:val="24"/>
          <w:lang w:val="es-ES_tradnl"/>
        </w:rPr>
        <w:t xml:space="preserve"> salvo col</w:t>
      </w:r>
      <w:r w:rsidR="00995764" w:rsidRPr="00A74402">
        <w:rPr>
          <w:rFonts w:ascii="Times New Roman" w:hAnsi="Times New Roman" w:cs="Times New Roman"/>
          <w:sz w:val="24"/>
          <w:szCs w:val="24"/>
          <w:lang w:val="es-ES_tradnl"/>
        </w:rPr>
        <w:t>.</w:t>
      </w:r>
      <w:r w:rsidRPr="00A74402">
        <w:rPr>
          <w:rFonts w:ascii="Times New Roman" w:hAnsi="Times New Roman" w:cs="Times New Roman"/>
          <w:sz w:val="24"/>
          <w:szCs w:val="24"/>
          <w:lang w:val="es-ES_tradnl"/>
        </w:rPr>
        <w:t xml:space="preserve"> (</w:t>
      </w:r>
      <w:r w:rsidR="00747E12" w:rsidRPr="00A74402">
        <w:rPr>
          <w:rFonts w:ascii="Times New Roman" w:hAnsi="Times New Roman" w:cs="Times New Roman"/>
          <w:sz w:val="24"/>
          <w:szCs w:val="24"/>
          <w:lang w:val="es-ES_tradnl"/>
        </w:rPr>
        <w:t>6</w:t>
      </w:r>
      <w:r w:rsidRPr="00A74402">
        <w:rPr>
          <w:rFonts w:ascii="Times New Roman" w:hAnsi="Times New Roman" w:cs="Times New Roman"/>
          <w:sz w:val="24"/>
          <w:szCs w:val="24"/>
          <w:lang w:val="es-ES_tradnl"/>
        </w:rPr>
        <w:t>), %)</w:t>
      </w:r>
    </w:p>
    <w:p w14:paraId="51C08C63" w14:textId="586C8FB8" w:rsidR="00565201" w:rsidRPr="00A74402" w:rsidRDefault="00565201" w:rsidP="006F2E70">
      <w:pPr>
        <w:spacing w:line="240" w:lineRule="auto"/>
        <w:ind w:left="-288"/>
        <w:rPr>
          <w:rFonts w:ascii="Times New Roman" w:hAnsi="Times New Roman" w:cs="Times New Roman"/>
          <w:sz w:val="20"/>
          <w:szCs w:val="20"/>
          <w:lang w:val="es-ES_tradnl"/>
        </w:rPr>
      </w:pPr>
      <w:r w:rsidRPr="00A74402">
        <w:rPr>
          <w:rFonts w:ascii="Times New Roman" w:hAnsi="Times New Roman" w:cs="Times New Roman"/>
          <w:b/>
          <w:sz w:val="20"/>
          <w:szCs w:val="20"/>
          <w:lang w:val="es-ES_tradnl"/>
        </w:rPr>
        <w:t>Fuente:</w:t>
      </w:r>
      <w:r w:rsidRPr="00A74402">
        <w:rPr>
          <w:rFonts w:ascii="Times New Roman" w:hAnsi="Times New Roman" w:cs="Times New Roman"/>
          <w:sz w:val="20"/>
          <w:szCs w:val="20"/>
          <w:lang w:val="es-ES_tradnl"/>
        </w:rPr>
        <w:t xml:space="preserve"> Basado en Cuentas Nacionales del Banco Central,. Todo en pesos corrientes salvo columna (6) que corresponde a  pesos encadenados. Columnas (1), (5) y (6) en serie</w:t>
      </w:r>
      <w:r w:rsidR="0035054D" w:rsidRPr="00A74402">
        <w:rPr>
          <w:rFonts w:ascii="Times New Roman" w:hAnsi="Times New Roman" w:cs="Times New Roman"/>
          <w:sz w:val="20"/>
          <w:szCs w:val="20"/>
          <w:lang w:val="es-ES_tradnl"/>
        </w:rPr>
        <w:t xml:space="preserve"> de referencia</w:t>
      </w:r>
      <w:r w:rsidRPr="00A74402">
        <w:rPr>
          <w:rFonts w:ascii="Times New Roman" w:hAnsi="Times New Roman" w:cs="Times New Roman"/>
          <w:sz w:val="20"/>
          <w:szCs w:val="20"/>
          <w:lang w:val="es-ES_tradnl"/>
        </w:rPr>
        <w:t xml:space="preserve"> 2013. Columnas (2), (3) y (4) en serie 2013 </w:t>
      </w:r>
      <w:r w:rsidR="00747E12" w:rsidRPr="00A74402">
        <w:rPr>
          <w:rFonts w:ascii="Times New Roman" w:hAnsi="Times New Roman" w:cs="Times New Roman"/>
          <w:sz w:val="20"/>
          <w:szCs w:val="20"/>
          <w:lang w:val="es-ES_tradnl"/>
        </w:rPr>
        <w:t>para</w:t>
      </w:r>
      <w:r w:rsidRPr="00A74402">
        <w:rPr>
          <w:rFonts w:ascii="Times New Roman" w:hAnsi="Times New Roman" w:cs="Times New Roman"/>
          <w:sz w:val="20"/>
          <w:szCs w:val="20"/>
          <w:lang w:val="es-ES_tradnl"/>
        </w:rPr>
        <w:t xml:space="preserve"> 2008</w:t>
      </w:r>
      <w:r w:rsidR="00747E12" w:rsidRPr="00A74402">
        <w:rPr>
          <w:rFonts w:ascii="Times New Roman" w:hAnsi="Times New Roman" w:cs="Times New Roman"/>
          <w:sz w:val="20"/>
          <w:szCs w:val="20"/>
          <w:lang w:val="es-ES_tradnl"/>
        </w:rPr>
        <w:t>-16</w:t>
      </w:r>
      <w:r w:rsidRPr="00A74402">
        <w:rPr>
          <w:rFonts w:ascii="Times New Roman" w:hAnsi="Times New Roman" w:cs="Times New Roman"/>
          <w:sz w:val="20"/>
          <w:szCs w:val="20"/>
          <w:lang w:val="es-ES_tradnl"/>
        </w:rPr>
        <w:t xml:space="preserve">; empalme hacia atrás desde 2007 </w:t>
      </w:r>
      <w:r w:rsidR="00743CC7" w:rsidRPr="00A74402">
        <w:rPr>
          <w:rFonts w:ascii="Times New Roman" w:hAnsi="Times New Roman" w:cs="Times New Roman"/>
          <w:sz w:val="20"/>
          <w:szCs w:val="20"/>
          <w:lang w:val="es-ES_tradnl"/>
        </w:rPr>
        <w:t xml:space="preserve">con tasas de variación </w:t>
      </w:r>
      <w:r w:rsidR="00B446EB" w:rsidRPr="00A74402">
        <w:rPr>
          <w:rFonts w:ascii="Times New Roman" w:hAnsi="Times New Roman" w:cs="Times New Roman"/>
          <w:sz w:val="20"/>
          <w:szCs w:val="20"/>
          <w:lang w:val="es-ES_tradnl"/>
        </w:rPr>
        <w:t>d</w:t>
      </w:r>
      <w:r w:rsidR="00743CC7" w:rsidRPr="00A74402">
        <w:rPr>
          <w:rFonts w:ascii="Times New Roman" w:hAnsi="Times New Roman" w:cs="Times New Roman"/>
          <w:sz w:val="20"/>
          <w:szCs w:val="20"/>
          <w:lang w:val="es-ES_tradnl"/>
        </w:rPr>
        <w:t>e</w:t>
      </w:r>
      <w:r w:rsidRPr="00A74402">
        <w:rPr>
          <w:rFonts w:ascii="Times New Roman" w:hAnsi="Times New Roman" w:cs="Times New Roman"/>
          <w:sz w:val="20"/>
          <w:szCs w:val="20"/>
          <w:lang w:val="es-ES_tradnl"/>
        </w:rPr>
        <w:t xml:space="preserve"> la serie 2003.</w:t>
      </w:r>
    </w:p>
    <w:p w14:paraId="4F741AC9" w14:textId="1CCB1D15" w:rsidR="00565201" w:rsidRPr="00A74402" w:rsidRDefault="00565201" w:rsidP="006F2E70">
      <w:pPr>
        <w:spacing w:line="240" w:lineRule="auto"/>
        <w:ind w:left="-288" w:right="144"/>
        <w:rPr>
          <w:rFonts w:ascii="Times New Roman" w:eastAsia="Times New Roman" w:hAnsi="Times New Roman" w:cs="Times New Roman"/>
          <w:color w:val="000000"/>
          <w:sz w:val="20"/>
          <w:szCs w:val="20"/>
          <w:lang w:val="es-ES_tradnl"/>
        </w:rPr>
      </w:pPr>
      <w:r w:rsidRPr="00A74402">
        <w:rPr>
          <w:rFonts w:ascii="Times New Roman" w:hAnsi="Times New Roman" w:cs="Times New Roman"/>
          <w:sz w:val="20"/>
          <w:szCs w:val="20"/>
          <w:lang w:val="es-ES_tradnl"/>
        </w:rPr>
        <w:t xml:space="preserve">*: </w:t>
      </w:r>
      <w:r w:rsidR="00747E12" w:rsidRPr="00A74402">
        <w:rPr>
          <w:rFonts w:ascii="Times New Roman" w:hAnsi="Times New Roman" w:cs="Times New Roman"/>
          <w:sz w:val="20"/>
          <w:szCs w:val="20"/>
          <w:lang w:val="es-ES_tradnl"/>
        </w:rPr>
        <w:t>P</w:t>
      </w:r>
      <w:r w:rsidRPr="00A74402">
        <w:rPr>
          <w:rFonts w:ascii="Times New Roman" w:hAnsi="Times New Roman" w:cs="Times New Roman"/>
          <w:sz w:val="20"/>
          <w:szCs w:val="20"/>
          <w:lang w:val="es-ES_tradnl"/>
        </w:rPr>
        <w:t>or disponibilidad de datos, promedio 2015-16.</w:t>
      </w:r>
    </w:p>
    <w:p w14:paraId="4C104F84" w14:textId="0204FD10" w:rsidR="002A22AC" w:rsidRPr="00A74402" w:rsidRDefault="002A22AC" w:rsidP="000903D9">
      <w:pPr>
        <w:spacing w:line="240" w:lineRule="auto"/>
        <w:ind w:left="708" w:right="288"/>
        <w:jc w:val="center"/>
        <w:rPr>
          <w:rFonts w:ascii="Times New Roman" w:eastAsia="Times New Roman" w:hAnsi="Times New Roman" w:cs="Times New Roman"/>
          <w:b/>
          <w:color w:val="000000"/>
          <w:sz w:val="24"/>
          <w:szCs w:val="24"/>
          <w:lang w:val="es-ES_tradnl"/>
        </w:rPr>
      </w:pPr>
      <w:r w:rsidRPr="00A74402">
        <w:rPr>
          <w:rFonts w:ascii="Times New Roman" w:hAnsi="Times New Roman" w:cs="Times New Roman"/>
          <w:noProof/>
        </w:rPr>
        <w:br w:type="column"/>
      </w:r>
      <w:r w:rsidRPr="00A74402">
        <w:rPr>
          <w:rFonts w:ascii="Times New Roman" w:eastAsia="Times New Roman" w:hAnsi="Times New Roman" w:cs="Times New Roman"/>
          <w:b/>
          <w:color w:val="000000"/>
          <w:sz w:val="24"/>
          <w:szCs w:val="24"/>
          <w:lang w:val="es-ES_tradnl"/>
        </w:rPr>
        <w:t>Cuadro 3. Formación bruta de capital fijo, nacional y extranjero, adquisiciones y PIB, 1991-2017</w:t>
      </w:r>
    </w:p>
    <w:p w14:paraId="28C762CE" w14:textId="77777777" w:rsidR="002A22AC" w:rsidRPr="00A74402" w:rsidRDefault="002A22AC" w:rsidP="000903D9">
      <w:pPr>
        <w:spacing w:line="240" w:lineRule="auto"/>
        <w:ind w:left="708" w:right="288"/>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 xml:space="preserve"> (a precios corrientes, %)</w:t>
      </w:r>
    </w:p>
    <w:tbl>
      <w:tblPr>
        <w:tblW w:w="9360" w:type="dxa"/>
        <w:tblLayout w:type="fixed"/>
        <w:tblLook w:val="04A0" w:firstRow="1" w:lastRow="0" w:firstColumn="1" w:lastColumn="0" w:noHBand="0" w:noVBand="1"/>
      </w:tblPr>
      <w:tblGrid>
        <w:gridCol w:w="990"/>
        <w:gridCol w:w="1170"/>
        <w:gridCol w:w="990"/>
        <w:gridCol w:w="1080"/>
        <w:gridCol w:w="1170"/>
        <w:gridCol w:w="1440"/>
        <w:gridCol w:w="1170"/>
        <w:gridCol w:w="1350"/>
      </w:tblGrid>
      <w:tr w:rsidR="002A22AC" w:rsidRPr="00A74402" w14:paraId="6A8F7E7C" w14:textId="77777777" w:rsidTr="00D0455C">
        <w:trPr>
          <w:trHeight w:val="615"/>
        </w:trPr>
        <w:tc>
          <w:tcPr>
            <w:tcW w:w="990" w:type="dxa"/>
            <w:tcBorders>
              <w:top w:val="single" w:sz="4" w:space="0" w:color="auto"/>
              <w:bottom w:val="single" w:sz="4" w:space="0" w:color="auto"/>
            </w:tcBorders>
            <w:shd w:val="clear" w:color="auto" w:fill="F2F2F2"/>
            <w:noWrap/>
            <w:vAlign w:val="center"/>
            <w:hideMark/>
          </w:tcPr>
          <w:p w14:paraId="0426493D" w14:textId="77777777" w:rsidR="002A22AC" w:rsidRPr="00A74402" w:rsidRDefault="002A22AC" w:rsidP="00D0455C">
            <w:pPr>
              <w:spacing w:line="240" w:lineRule="auto"/>
              <w:jc w:val="center"/>
              <w:rPr>
                <w:rFonts w:ascii="Times New Roman" w:eastAsia="Times New Roman" w:hAnsi="Times New Roman" w:cs="Times New Roman"/>
                <w:color w:val="000000"/>
                <w:sz w:val="21"/>
                <w:szCs w:val="21"/>
                <w:lang w:val="es-ES_tradnl"/>
              </w:rPr>
            </w:pPr>
            <w:r w:rsidRPr="00A74402">
              <w:rPr>
                <w:rFonts w:ascii="Times New Roman" w:eastAsia="Times New Roman" w:hAnsi="Times New Roman" w:cs="Times New Roman"/>
                <w:color w:val="000000"/>
                <w:sz w:val="21"/>
                <w:szCs w:val="21"/>
                <w:lang w:val="es-ES_tradnl"/>
              </w:rPr>
              <w:t>Períodos</w:t>
            </w:r>
          </w:p>
        </w:tc>
        <w:tc>
          <w:tcPr>
            <w:tcW w:w="1170" w:type="dxa"/>
            <w:tcBorders>
              <w:top w:val="single" w:sz="4" w:space="0" w:color="auto"/>
              <w:bottom w:val="single" w:sz="4" w:space="0" w:color="auto"/>
            </w:tcBorders>
            <w:shd w:val="clear" w:color="auto" w:fill="F2F2F2"/>
            <w:noWrap/>
            <w:vAlign w:val="center"/>
            <w:hideMark/>
          </w:tcPr>
          <w:p w14:paraId="4BD458D0" w14:textId="77777777" w:rsidR="002A22AC" w:rsidRPr="00A74402" w:rsidRDefault="002A22AC" w:rsidP="00D0455C">
            <w:pPr>
              <w:spacing w:line="240" w:lineRule="auto"/>
              <w:jc w:val="center"/>
              <w:rPr>
                <w:rFonts w:ascii="Times New Roman" w:eastAsia="Times New Roman" w:hAnsi="Times New Roman" w:cs="Times New Roman"/>
                <w:color w:val="000000"/>
                <w:sz w:val="21"/>
                <w:szCs w:val="21"/>
                <w:lang w:val="es-ES_tradnl"/>
              </w:rPr>
            </w:pPr>
            <w:r w:rsidRPr="00A74402">
              <w:rPr>
                <w:rFonts w:ascii="Times New Roman" w:eastAsia="Times New Roman" w:hAnsi="Times New Roman" w:cs="Times New Roman"/>
                <w:color w:val="000000"/>
                <w:sz w:val="21"/>
                <w:szCs w:val="21"/>
                <w:lang w:val="es-ES_tradnl"/>
              </w:rPr>
              <w:t>FBKF/PIB</w:t>
            </w:r>
          </w:p>
        </w:tc>
        <w:tc>
          <w:tcPr>
            <w:tcW w:w="990" w:type="dxa"/>
            <w:tcBorders>
              <w:top w:val="single" w:sz="4" w:space="0" w:color="auto"/>
              <w:bottom w:val="single" w:sz="4" w:space="0" w:color="auto"/>
            </w:tcBorders>
            <w:shd w:val="clear" w:color="auto" w:fill="F2F2F2"/>
            <w:noWrap/>
            <w:vAlign w:val="center"/>
            <w:hideMark/>
          </w:tcPr>
          <w:p w14:paraId="2C60117C" w14:textId="77777777" w:rsidR="002A22AC" w:rsidRPr="00A74402" w:rsidRDefault="002A22AC" w:rsidP="00D0455C">
            <w:pPr>
              <w:spacing w:line="240" w:lineRule="auto"/>
              <w:jc w:val="center"/>
              <w:rPr>
                <w:rFonts w:ascii="Times New Roman" w:eastAsia="Times New Roman" w:hAnsi="Times New Roman" w:cs="Times New Roman"/>
                <w:color w:val="000000"/>
                <w:sz w:val="21"/>
                <w:szCs w:val="21"/>
                <w:lang w:val="es-ES_tradnl"/>
              </w:rPr>
            </w:pPr>
            <w:r w:rsidRPr="00A74402">
              <w:rPr>
                <w:rFonts w:ascii="Times New Roman" w:eastAsia="Times New Roman" w:hAnsi="Times New Roman" w:cs="Times New Roman"/>
                <w:color w:val="000000"/>
                <w:sz w:val="21"/>
                <w:szCs w:val="21"/>
                <w:lang w:val="es-ES_tradnl"/>
              </w:rPr>
              <w:t>IED/PIB</w:t>
            </w:r>
          </w:p>
        </w:tc>
        <w:tc>
          <w:tcPr>
            <w:tcW w:w="1080" w:type="dxa"/>
            <w:tcBorders>
              <w:top w:val="single" w:sz="4" w:space="0" w:color="auto"/>
              <w:bottom w:val="single" w:sz="4" w:space="0" w:color="auto"/>
            </w:tcBorders>
            <w:shd w:val="clear" w:color="auto" w:fill="F2F2F2"/>
            <w:vAlign w:val="center"/>
          </w:tcPr>
          <w:p w14:paraId="7C8B876D" w14:textId="77777777" w:rsidR="002A22AC" w:rsidRPr="00A74402" w:rsidRDefault="002A22AC" w:rsidP="00D0455C">
            <w:pPr>
              <w:spacing w:line="240" w:lineRule="auto"/>
              <w:jc w:val="center"/>
              <w:rPr>
                <w:rFonts w:ascii="Times New Roman" w:eastAsia="Times New Roman" w:hAnsi="Times New Roman" w:cs="Times New Roman"/>
                <w:color w:val="000000"/>
                <w:sz w:val="21"/>
                <w:szCs w:val="21"/>
                <w:lang w:val="es-ES_tradnl"/>
              </w:rPr>
            </w:pPr>
            <w:r w:rsidRPr="00A74402">
              <w:rPr>
                <w:rFonts w:ascii="Times New Roman" w:eastAsia="Times New Roman" w:hAnsi="Times New Roman" w:cs="Times New Roman"/>
                <w:color w:val="000000"/>
                <w:sz w:val="21"/>
                <w:szCs w:val="21"/>
                <w:lang w:val="es-ES_tradnl"/>
              </w:rPr>
              <w:t>F&amp;A/PIB</w:t>
            </w:r>
          </w:p>
        </w:tc>
        <w:tc>
          <w:tcPr>
            <w:tcW w:w="1170" w:type="dxa"/>
            <w:tcBorders>
              <w:top w:val="single" w:sz="4" w:space="0" w:color="auto"/>
              <w:bottom w:val="single" w:sz="4" w:space="0" w:color="auto"/>
            </w:tcBorders>
            <w:shd w:val="clear" w:color="auto" w:fill="F2F2F2"/>
            <w:vAlign w:val="center"/>
          </w:tcPr>
          <w:p w14:paraId="0FD76872" w14:textId="77777777" w:rsidR="002A22AC" w:rsidRPr="00A74402" w:rsidRDefault="002A22AC" w:rsidP="00D0455C">
            <w:pPr>
              <w:adjustRightInd w:val="0"/>
              <w:spacing w:line="240" w:lineRule="auto"/>
              <w:jc w:val="center"/>
              <w:rPr>
                <w:rFonts w:ascii="Times New Roman" w:eastAsia="Times New Roman" w:hAnsi="Times New Roman" w:cs="Times New Roman"/>
                <w:color w:val="000000"/>
                <w:sz w:val="21"/>
                <w:szCs w:val="21"/>
                <w:lang w:val="es-ES_tradnl"/>
              </w:rPr>
            </w:pPr>
            <w:r w:rsidRPr="00A74402">
              <w:rPr>
                <w:rFonts w:ascii="Times New Roman" w:eastAsia="Times New Roman" w:hAnsi="Times New Roman" w:cs="Times New Roman"/>
                <w:color w:val="000000"/>
                <w:sz w:val="21"/>
                <w:szCs w:val="21"/>
                <w:lang w:val="es-ES_tradnl"/>
              </w:rPr>
              <w:t>(IED-F&amp;A)/PIB</w:t>
            </w:r>
          </w:p>
        </w:tc>
        <w:tc>
          <w:tcPr>
            <w:tcW w:w="1440" w:type="dxa"/>
            <w:tcBorders>
              <w:top w:val="single" w:sz="4" w:space="0" w:color="auto"/>
              <w:bottom w:val="single" w:sz="4" w:space="0" w:color="auto"/>
            </w:tcBorders>
            <w:shd w:val="clear" w:color="auto" w:fill="F2F2F2"/>
            <w:vAlign w:val="center"/>
          </w:tcPr>
          <w:p w14:paraId="726AF78C" w14:textId="77245E5F" w:rsidR="002A22AC" w:rsidRPr="00A74402" w:rsidRDefault="00D0455C" w:rsidP="00D0455C">
            <w:pPr>
              <w:spacing w:line="240" w:lineRule="auto"/>
              <w:jc w:val="center"/>
              <w:rPr>
                <w:rFonts w:ascii="Times New Roman" w:eastAsia="Times New Roman" w:hAnsi="Times New Roman" w:cs="Times New Roman"/>
                <w:color w:val="000000"/>
                <w:sz w:val="21"/>
                <w:szCs w:val="21"/>
                <w:lang w:val="es-ES_tradnl"/>
              </w:rPr>
            </w:pPr>
            <w:r w:rsidRPr="00A74402">
              <w:rPr>
                <w:rFonts w:ascii="Times New Roman" w:eastAsia="Times New Roman" w:hAnsi="Times New Roman" w:cs="Times New Roman"/>
                <w:color w:val="000000"/>
                <w:sz w:val="21"/>
                <w:szCs w:val="21"/>
                <w:lang w:val="es-ES_tradnl"/>
              </w:rPr>
              <w:t xml:space="preserve">FBKF </w:t>
            </w:r>
            <w:r w:rsidR="002A22AC" w:rsidRPr="00A74402">
              <w:rPr>
                <w:rFonts w:ascii="Times New Roman" w:eastAsia="Times New Roman" w:hAnsi="Times New Roman" w:cs="Times New Roman"/>
                <w:color w:val="000000"/>
                <w:sz w:val="21"/>
                <w:szCs w:val="21"/>
                <w:lang w:val="es-ES_tradnl"/>
              </w:rPr>
              <w:t>Nacional/PIB</w:t>
            </w:r>
          </w:p>
        </w:tc>
        <w:tc>
          <w:tcPr>
            <w:tcW w:w="1170" w:type="dxa"/>
            <w:tcBorders>
              <w:top w:val="single" w:sz="4" w:space="0" w:color="auto"/>
              <w:bottom w:val="single" w:sz="4" w:space="0" w:color="auto"/>
            </w:tcBorders>
            <w:shd w:val="clear" w:color="auto" w:fill="F2F2F2"/>
            <w:vAlign w:val="center"/>
          </w:tcPr>
          <w:p w14:paraId="0CA7A62E" w14:textId="77777777" w:rsidR="002A22AC" w:rsidRPr="00A74402" w:rsidRDefault="002A22AC" w:rsidP="00D0455C">
            <w:pPr>
              <w:spacing w:line="240" w:lineRule="auto"/>
              <w:jc w:val="center"/>
              <w:rPr>
                <w:rFonts w:ascii="Times New Roman" w:eastAsia="Times New Roman" w:hAnsi="Times New Roman" w:cs="Times New Roman"/>
                <w:color w:val="000000"/>
                <w:sz w:val="21"/>
                <w:szCs w:val="21"/>
                <w:lang w:val="es-ES_tradnl"/>
              </w:rPr>
            </w:pPr>
            <w:r w:rsidRPr="00A74402">
              <w:rPr>
                <w:rFonts w:ascii="Times New Roman" w:eastAsia="Times New Roman" w:hAnsi="Times New Roman" w:cs="Times New Roman"/>
                <w:color w:val="000000"/>
                <w:sz w:val="21"/>
                <w:szCs w:val="21"/>
                <w:lang w:val="es-ES_tradnl"/>
              </w:rPr>
              <w:t>IED/FBKF</w:t>
            </w:r>
          </w:p>
        </w:tc>
        <w:tc>
          <w:tcPr>
            <w:tcW w:w="1350" w:type="dxa"/>
            <w:tcBorders>
              <w:top w:val="single" w:sz="4" w:space="0" w:color="auto"/>
              <w:bottom w:val="single" w:sz="4" w:space="0" w:color="auto"/>
            </w:tcBorders>
            <w:shd w:val="clear" w:color="auto" w:fill="F2F2F2"/>
            <w:vAlign w:val="center"/>
          </w:tcPr>
          <w:p w14:paraId="169EF0FB" w14:textId="77777777" w:rsidR="002A22AC" w:rsidRPr="00A74402" w:rsidRDefault="002A22AC" w:rsidP="00D0455C">
            <w:pPr>
              <w:spacing w:line="240" w:lineRule="auto"/>
              <w:jc w:val="center"/>
              <w:rPr>
                <w:rFonts w:ascii="Times New Roman" w:eastAsia="Times New Roman" w:hAnsi="Times New Roman" w:cs="Times New Roman"/>
                <w:color w:val="000000"/>
                <w:sz w:val="21"/>
                <w:szCs w:val="21"/>
                <w:lang w:val="es-ES_tradnl"/>
              </w:rPr>
            </w:pPr>
            <w:r w:rsidRPr="00A74402">
              <w:rPr>
                <w:rFonts w:ascii="Times New Roman" w:eastAsia="Times New Roman" w:hAnsi="Times New Roman" w:cs="Times New Roman"/>
                <w:color w:val="000000"/>
                <w:sz w:val="21"/>
                <w:szCs w:val="21"/>
                <w:lang w:val="es-ES_tradnl"/>
              </w:rPr>
              <w:t>(IED-F&amp;A)/FBKF</w:t>
            </w:r>
          </w:p>
        </w:tc>
      </w:tr>
      <w:tr w:rsidR="005F52A3" w:rsidRPr="00A74402" w14:paraId="0C4206D4" w14:textId="77777777" w:rsidTr="00D0455C">
        <w:trPr>
          <w:trHeight w:val="615"/>
        </w:trPr>
        <w:tc>
          <w:tcPr>
            <w:tcW w:w="990" w:type="dxa"/>
            <w:tcBorders>
              <w:top w:val="single" w:sz="4" w:space="0" w:color="auto"/>
              <w:bottom w:val="single" w:sz="4" w:space="0" w:color="auto"/>
            </w:tcBorders>
            <w:shd w:val="clear" w:color="auto" w:fill="F2F2F2"/>
            <w:noWrap/>
            <w:vAlign w:val="center"/>
          </w:tcPr>
          <w:p w14:paraId="0F60DF46" w14:textId="77777777" w:rsidR="005F52A3" w:rsidRPr="00A74402" w:rsidRDefault="005F52A3" w:rsidP="00D0455C">
            <w:pPr>
              <w:spacing w:line="240" w:lineRule="auto"/>
              <w:jc w:val="center"/>
              <w:rPr>
                <w:rFonts w:ascii="Times New Roman" w:eastAsia="Times New Roman" w:hAnsi="Times New Roman" w:cs="Times New Roman"/>
                <w:color w:val="000000"/>
                <w:sz w:val="21"/>
                <w:szCs w:val="21"/>
                <w:lang w:val="es-ES_tradnl"/>
              </w:rPr>
            </w:pPr>
          </w:p>
        </w:tc>
        <w:tc>
          <w:tcPr>
            <w:tcW w:w="1170" w:type="dxa"/>
            <w:tcBorders>
              <w:top w:val="single" w:sz="4" w:space="0" w:color="auto"/>
              <w:bottom w:val="single" w:sz="4" w:space="0" w:color="auto"/>
            </w:tcBorders>
            <w:shd w:val="clear" w:color="auto" w:fill="F2F2F2"/>
            <w:noWrap/>
            <w:vAlign w:val="center"/>
          </w:tcPr>
          <w:p w14:paraId="12623F39" w14:textId="77777777" w:rsidR="005F52A3" w:rsidRPr="00A74402" w:rsidRDefault="005F52A3" w:rsidP="00D0455C">
            <w:pPr>
              <w:spacing w:line="240" w:lineRule="auto"/>
              <w:jc w:val="center"/>
              <w:rPr>
                <w:rFonts w:ascii="Times New Roman" w:eastAsia="Times New Roman" w:hAnsi="Times New Roman" w:cs="Times New Roman"/>
                <w:color w:val="000000"/>
                <w:sz w:val="21"/>
                <w:szCs w:val="21"/>
                <w:lang w:val="es-ES_tradnl"/>
              </w:rPr>
            </w:pPr>
          </w:p>
        </w:tc>
        <w:tc>
          <w:tcPr>
            <w:tcW w:w="990" w:type="dxa"/>
            <w:tcBorders>
              <w:top w:val="single" w:sz="4" w:space="0" w:color="auto"/>
              <w:bottom w:val="single" w:sz="4" w:space="0" w:color="auto"/>
            </w:tcBorders>
            <w:shd w:val="clear" w:color="auto" w:fill="F2F2F2"/>
            <w:noWrap/>
            <w:vAlign w:val="center"/>
          </w:tcPr>
          <w:p w14:paraId="5E20296C" w14:textId="77777777" w:rsidR="005F52A3" w:rsidRPr="00A74402" w:rsidRDefault="005F52A3" w:rsidP="00D0455C">
            <w:pPr>
              <w:spacing w:line="240" w:lineRule="auto"/>
              <w:jc w:val="center"/>
              <w:rPr>
                <w:rFonts w:ascii="Times New Roman" w:eastAsia="Times New Roman" w:hAnsi="Times New Roman" w:cs="Times New Roman"/>
                <w:color w:val="000000"/>
                <w:sz w:val="21"/>
                <w:szCs w:val="21"/>
                <w:lang w:val="es-ES_tradnl"/>
              </w:rPr>
            </w:pPr>
          </w:p>
        </w:tc>
        <w:tc>
          <w:tcPr>
            <w:tcW w:w="1080" w:type="dxa"/>
            <w:tcBorders>
              <w:top w:val="single" w:sz="4" w:space="0" w:color="auto"/>
              <w:bottom w:val="single" w:sz="4" w:space="0" w:color="auto"/>
            </w:tcBorders>
            <w:shd w:val="clear" w:color="auto" w:fill="F2F2F2"/>
            <w:vAlign w:val="center"/>
          </w:tcPr>
          <w:p w14:paraId="12E20B86" w14:textId="77777777" w:rsidR="005F52A3" w:rsidRPr="00A74402" w:rsidRDefault="005F52A3" w:rsidP="00D0455C">
            <w:pPr>
              <w:spacing w:line="240" w:lineRule="auto"/>
              <w:jc w:val="center"/>
              <w:rPr>
                <w:rFonts w:ascii="Times New Roman" w:eastAsia="Times New Roman" w:hAnsi="Times New Roman" w:cs="Times New Roman"/>
                <w:color w:val="000000"/>
                <w:sz w:val="21"/>
                <w:szCs w:val="21"/>
                <w:lang w:val="es-ES_tradnl"/>
              </w:rPr>
            </w:pPr>
          </w:p>
        </w:tc>
        <w:tc>
          <w:tcPr>
            <w:tcW w:w="1170" w:type="dxa"/>
            <w:tcBorders>
              <w:top w:val="single" w:sz="4" w:space="0" w:color="auto"/>
              <w:bottom w:val="single" w:sz="4" w:space="0" w:color="auto"/>
            </w:tcBorders>
            <w:shd w:val="clear" w:color="auto" w:fill="F2F2F2"/>
            <w:vAlign w:val="center"/>
          </w:tcPr>
          <w:p w14:paraId="04E0CDC1" w14:textId="77777777" w:rsidR="005F52A3" w:rsidRPr="00A74402" w:rsidRDefault="005F52A3" w:rsidP="00D0455C">
            <w:pPr>
              <w:adjustRightInd w:val="0"/>
              <w:spacing w:line="240" w:lineRule="auto"/>
              <w:jc w:val="center"/>
              <w:rPr>
                <w:rFonts w:ascii="Times New Roman" w:eastAsia="Times New Roman" w:hAnsi="Times New Roman" w:cs="Times New Roman"/>
                <w:color w:val="000000"/>
                <w:sz w:val="21"/>
                <w:szCs w:val="21"/>
                <w:lang w:val="es-ES_tradnl"/>
              </w:rPr>
            </w:pPr>
          </w:p>
        </w:tc>
        <w:tc>
          <w:tcPr>
            <w:tcW w:w="1440" w:type="dxa"/>
            <w:tcBorders>
              <w:top w:val="single" w:sz="4" w:space="0" w:color="auto"/>
              <w:bottom w:val="single" w:sz="4" w:space="0" w:color="auto"/>
            </w:tcBorders>
            <w:shd w:val="clear" w:color="auto" w:fill="F2F2F2"/>
            <w:vAlign w:val="center"/>
          </w:tcPr>
          <w:p w14:paraId="3F420FD3" w14:textId="77777777" w:rsidR="005F52A3" w:rsidRPr="00A74402" w:rsidRDefault="005F52A3" w:rsidP="00D0455C">
            <w:pPr>
              <w:spacing w:line="240" w:lineRule="auto"/>
              <w:jc w:val="center"/>
              <w:rPr>
                <w:rFonts w:ascii="Times New Roman" w:eastAsia="Times New Roman" w:hAnsi="Times New Roman" w:cs="Times New Roman"/>
                <w:color w:val="000000"/>
                <w:sz w:val="21"/>
                <w:szCs w:val="21"/>
                <w:lang w:val="es-ES_tradnl"/>
              </w:rPr>
            </w:pPr>
          </w:p>
        </w:tc>
        <w:tc>
          <w:tcPr>
            <w:tcW w:w="1170" w:type="dxa"/>
            <w:tcBorders>
              <w:top w:val="single" w:sz="4" w:space="0" w:color="auto"/>
              <w:bottom w:val="single" w:sz="4" w:space="0" w:color="auto"/>
            </w:tcBorders>
            <w:shd w:val="clear" w:color="auto" w:fill="F2F2F2"/>
            <w:vAlign w:val="center"/>
          </w:tcPr>
          <w:p w14:paraId="6465D9A8" w14:textId="77777777" w:rsidR="005F52A3" w:rsidRPr="00A74402" w:rsidRDefault="005F52A3" w:rsidP="00D0455C">
            <w:pPr>
              <w:spacing w:line="240" w:lineRule="auto"/>
              <w:jc w:val="center"/>
              <w:rPr>
                <w:rFonts w:ascii="Times New Roman" w:eastAsia="Times New Roman" w:hAnsi="Times New Roman" w:cs="Times New Roman"/>
                <w:color w:val="000000"/>
                <w:sz w:val="21"/>
                <w:szCs w:val="21"/>
                <w:lang w:val="es-ES_tradnl"/>
              </w:rPr>
            </w:pPr>
          </w:p>
        </w:tc>
        <w:tc>
          <w:tcPr>
            <w:tcW w:w="1350" w:type="dxa"/>
            <w:tcBorders>
              <w:top w:val="single" w:sz="4" w:space="0" w:color="auto"/>
              <w:bottom w:val="single" w:sz="4" w:space="0" w:color="auto"/>
            </w:tcBorders>
            <w:shd w:val="clear" w:color="auto" w:fill="F2F2F2"/>
            <w:vAlign w:val="center"/>
          </w:tcPr>
          <w:p w14:paraId="325BF13A" w14:textId="77777777" w:rsidR="005F52A3" w:rsidRPr="00A74402" w:rsidRDefault="005F52A3" w:rsidP="00D0455C">
            <w:pPr>
              <w:spacing w:line="240" w:lineRule="auto"/>
              <w:jc w:val="center"/>
              <w:rPr>
                <w:rFonts w:ascii="Times New Roman" w:eastAsia="Times New Roman" w:hAnsi="Times New Roman" w:cs="Times New Roman"/>
                <w:color w:val="000000"/>
                <w:sz w:val="21"/>
                <w:szCs w:val="21"/>
                <w:lang w:val="es-ES_tradnl"/>
              </w:rPr>
            </w:pPr>
          </w:p>
        </w:tc>
      </w:tr>
      <w:tr w:rsidR="002A22AC" w:rsidRPr="00A74402" w14:paraId="01B1556A" w14:textId="77777777" w:rsidTr="00D0455C">
        <w:trPr>
          <w:trHeight w:val="63"/>
        </w:trPr>
        <w:tc>
          <w:tcPr>
            <w:tcW w:w="990" w:type="dxa"/>
            <w:tcBorders>
              <w:top w:val="single" w:sz="4" w:space="0" w:color="auto"/>
              <w:bottom w:val="single" w:sz="4" w:space="0" w:color="auto"/>
            </w:tcBorders>
            <w:shd w:val="clear" w:color="auto" w:fill="F2F2F2"/>
            <w:noWrap/>
            <w:vAlign w:val="center"/>
          </w:tcPr>
          <w:p w14:paraId="1DF448D2"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p>
        </w:tc>
        <w:tc>
          <w:tcPr>
            <w:tcW w:w="1170" w:type="dxa"/>
            <w:tcBorders>
              <w:top w:val="single" w:sz="4" w:space="0" w:color="auto"/>
              <w:bottom w:val="single" w:sz="4" w:space="0" w:color="auto"/>
            </w:tcBorders>
            <w:shd w:val="clear" w:color="auto" w:fill="F2F2F2"/>
            <w:noWrap/>
            <w:vAlign w:val="center"/>
          </w:tcPr>
          <w:p w14:paraId="3F9A57BD"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(1)</w:t>
            </w:r>
          </w:p>
        </w:tc>
        <w:tc>
          <w:tcPr>
            <w:tcW w:w="990" w:type="dxa"/>
            <w:tcBorders>
              <w:top w:val="single" w:sz="4" w:space="0" w:color="auto"/>
              <w:bottom w:val="single" w:sz="4" w:space="0" w:color="auto"/>
            </w:tcBorders>
            <w:shd w:val="clear" w:color="auto" w:fill="F2F2F2"/>
            <w:noWrap/>
            <w:vAlign w:val="center"/>
          </w:tcPr>
          <w:p w14:paraId="1F24B106"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(2)</w:t>
            </w:r>
          </w:p>
        </w:tc>
        <w:tc>
          <w:tcPr>
            <w:tcW w:w="1080" w:type="dxa"/>
            <w:tcBorders>
              <w:top w:val="single" w:sz="4" w:space="0" w:color="auto"/>
              <w:bottom w:val="single" w:sz="4" w:space="0" w:color="auto"/>
            </w:tcBorders>
            <w:shd w:val="clear" w:color="auto" w:fill="F2F2F2"/>
            <w:vAlign w:val="center"/>
          </w:tcPr>
          <w:p w14:paraId="5DA7F1F8"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(3)</w:t>
            </w:r>
          </w:p>
        </w:tc>
        <w:tc>
          <w:tcPr>
            <w:tcW w:w="1170" w:type="dxa"/>
            <w:tcBorders>
              <w:top w:val="single" w:sz="4" w:space="0" w:color="auto"/>
              <w:bottom w:val="single" w:sz="4" w:space="0" w:color="auto"/>
            </w:tcBorders>
            <w:shd w:val="clear" w:color="auto" w:fill="F2F2F2"/>
            <w:vAlign w:val="center"/>
          </w:tcPr>
          <w:p w14:paraId="0EFA992E"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(4)</w:t>
            </w:r>
          </w:p>
        </w:tc>
        <w:tc>
          <w:tcPr>
            <w:tcW w:w="1440" w:type="dxa"/>
            <w:tcBorders>
              <w:top w:val="single" w:sz="4" w:space="0" w:color="auto"/>
              <w:bottom w:val="single" w:sz="4" w:space="0" w:color="auto"/>
            </w:tcBorders>
            <w:shd w:val="clear" w:color="auto" w:fill="F2F2F2"/>
          </w:tcPr>
          <w:p w14:paraId="3ED32445"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(5)</w:t>
            </w:r>
          </w:p>
        </w:tc>
        <w:tc>
          <w:tcPr>
            <w:tcW w:w="1170" w:type="dxa"/>
            <w:tcBorders>
              <w:top w:val="single" w:sz="4" w:space="0" w:color="auto"/>
              <w:bottom w:val="single" w:sz="4" w:space="0" w:color="auto"/>
            </w:tcBorders>
            <w:shd w:val="clear" w:color="auto" w:fill="F2F2F2"/>
          </w:tcPr>
          <w:p w14:paraId="45234B80"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(6)</w:t>
            </w:r>
          </w:p>
        </w:tc>
        <w:tc>
          <w:tcPr>
            <w:tcW w:w="1350" w:type="dxa"/>
            <w:tcBorders>
              <w:top w:val="single" w:sz="4" w:space="0" w:color="auto"/>
              <w:bottom w:val="single" w:sz="4" w:space="0" w:color="auto"/>
            </w:tcBorders>
            <w:shd w:val="clear" w:color="auto" w:fill="F2F2F2"/>
          </w:tcPr>
          <w:p w14:paraId="76143E92"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(7)</w:t>
            </w:r>
          </w:p>
        </w:tc>
      </w:tr>
      <w:tr w:rsidR="002A22AC" w:rsidRPr="00A74402" w14:paraId="1492D8E9" w14:textId="77777777" w:rsidTr="0082304E">
        <w:trPr>
          <w:trHeight w:val="307"/>
        </w:trPr>
        <w:tc>
          <w:tcPr>
            <w:tcW w:w="990" w:type="dxa"/>
            <w:tcBorders>
              <w:top w:val="single" w:sz="4" w:space="0" w:color="auto"/>
              <w:bottom w:val="nil"/>
            </w:tcBorders>
            <w:shd w:val="clear" w:color="auto" w:fill="auto"/>
            <w:noWrap/>
            <w:vAlign w:val="center"/>
            <w:hideMark/>
          </w:tcPr>
          <w:p w14:paraId="0B26660E"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1991-95</w:t>
            </w:r>
          </w:p>
        </w:tc>
        <w:tc>
          <w:tcPr>
            <w:tcW w:w="1170" w:type="dxa"/>
            <w:tcBorders>
              <w:top w:val="single" w:sz="4" w:space="0" w:color="auto"/>
              <w:bottom w:val="nil"/>
            </w:tcBorders>
            <w:shd w:val="clear" w:color="auto" w:fill="auto"/>
            <w:noWrap/>
            <w:vAlign w:val="center"/>
            <w:hideMark/>
          </w:tcPr>
          <w:p w14:paraId="5B25D073"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24,4</w:t>
            </w:r>
          </w:p>
        </w:tc>
        <w:tc>
          <w:tcPr>
            <w:tcW w:w="990" w:type="dxa"/>
            <w:tcBorders>
              <w:top w:val="single" w:sz="4" w:space="0" w:color="auto"/>
              <w:bottom w:val="nil"/>
            </w:tcBorders>
            <w:shd w:val="clear" w:color="auto" w:fill="auto"/>
            <w:noWrap/>
            <w:vAlign w:val="center"/>
            <w:hideMark/>
          </w:tcPr>
          <w:p w14:paraId="54BAA070"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4,8</w:t>
            </w:r>
          </w:p>
        </w:tc>
        <w:tc>
          <w:tcPr>
            <w:tcW w:w="1080" w:type="dxa"/>
            <w:tcBorders>
              <w:top w:val="single" w:sz="4" w:space="0" w:color="auto"/>
              <w:bottom w:val="nil"/>
            </w:tcBorders>
            <w:vAlign w:val="center"/>
          </w:tcPr>
          <w:p w14:paraId="16A9BCFC"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1,0</w:t>
            </w:r>
          </w:p>
        </w:tc>
        <w:tc>
          <w:tcPr>
            <w:tcW w:w="1170" w:type="dxa"/>
            <w:tcBorders>
              <w:top w:val="single" w:sz="4" w:space="0" w:color="auto"/>
              <w:bottom w:val="nil"/>
            </w:tcBorders>
            <w:vAlign w:val="center"/>
          </w:tcPr>
          <w:p w14:paraId="08C3D04A"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3,8</w:t>
            </w:r>
          </w:p>
        </w:tc>
        <w:tc>
          <w:tcPr>
            <w:tcW w:w="1440" w:type="dxa"/>
            <w:tcBorders>
              <w:top w:val="single" w:sz="4" w:space="0" w:color="auto"/>
              <w:bottom w:val="nil"/>
            </w:tcBorders>
            <w:vAlign w:val="center"/>
          </w:tcPr>
          <w:p w14:paraId="5B1A57F6"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20,6</w:t>
            </w:r>
          </w:p>
        </w:tc>
        <w:tc>
          <w:tcPr>
            <w:tcW w:w="1170" w:type="dxa"/>
            <w:tcBorders>
              <w:top w:val="single" w:sz="4" w:space="0" w:color="auto"/>
              <w:bottom w:val="nil"/>
            </w:tcBorders>
            <w:vAlign w:val="center"/>
          </w:tcPr>
          <w:p w14:paraId="1CAD513C"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19,4</w:t>
            </w:r>
          </w:p>
        </w:tc>
        <w:tc>
          <w:tcPr>
            <w:tcW w:w="1350" w:type="dxa"/>
            <w:tcBorders>
              <w:top w:val="single" w:sz="4" w:space="0" w:color="auto"/>
              <w:bottom w:val="nil"/>
            </w:tcBorders>
            <w:vAlign w:val="center"/>
          </w:tcPr>
          <w:p w14:paraId="40122E9B"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15,2</w:t>
            </w:r>
          </w:p>
        </w:tc>
      </w:tr>
      <w:tr w:rsidR="002A22AC" w:rsidRPr="00A74402" w14:paraId="2DAD8CDA" w14:textId="77777777" w:rsidTr="0082304E">
        <w:trPr>
          <w:trHeight w:val="307"/>
        </w:trPr>
        <w:tc>
          <w:tcPr>
            <w:tcW w:w="990" w:type="dxa"/>
            <w:tcBorders>
              <w:top w:val="nil"/>
              <w:bottom w:val="nil"/>
            </w:tcBorders>
            <w:shd w:val="clear" w:color="auto" w:fill="auto"/>
            <w:noWrap/>
            <w:vAlign w:val="center"/>
            <w:hideMark/>
          </w:tcPr>
          <w:p w14:paraId="60982BFF"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1996-98</w:t>
            </w:r>
          </w:p>
        </w:tc>
        <w:tc>
          <w:tcPr>
            <w:tcW w:w="1170" w:type="dxa"/>
            <w:tcBorders>
              <w:top w:val="nil"/>
              <w:bottom w:val="nil"/>
            </w:tcBorders>
            <w:shd w:val="clear" w:color="auto" w:fill="auto"/>
            <w:noWrap/>
            <w:vAlign w:val="center"/>
            <w:hideMark/>
          </w:tcPr>
          <w:p w14:paraId="48DCCF2C"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27,0</w:t>
            </w:r>
          </w:p>
        </w:tc>
        <w:tc>
          <w:tcPr>
            <w:tcW w:w="990" w:type="dxa"/>
            <w:tcBorders>
              <w:top w:val="nil"/>
              <w:bottom w:val="nil"/>
            </w:tcBorders>
            <w:shd w:val="clear" w:color="auto" w:fill="auto"/>
            <w:noWrap/>
            <w:vAlign w:val="center"/>
            <w:hideMark/>
          </w:tcPr>
          <w:p w14:paraId="5A049649"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8,0</w:t>
            </w:r>
          </w:p>
        </w:tc>
        <w:tc>
          <w:tcPr>
            <w:tcW w:w="1080" w:type="dxa"/>
            <w:tcBorders>
              <w:top w:val="nil"/>
              <w:bottom w:val="nil"/>
            </w:tcBorders>
            <w:vAlign w:val="center"/>
          </w:tcPr>
          <w:p w14:paraId="7D065D69"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2,5</w:t>
            </w:r>
          </w:p>
        </w:tc>
        <w:tc>
          <w:tcPr>
            <w:tcW w:w="1170" w:type="dxa"/>
            <w:tcBorders>
              <w:top w:val="nil"/>
              <w:bottom w:val="nil"/>
            </w:tcBorders>
            <w:vAlign w:val="center"/>
          </w:tcPr>
          <w:p w14:paraId="783A7EC0"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5,5</w:t>
            </w:r>
          </w:p>
        </w:tc>
        <w:tc>
          <w:tcPr>
            <w:tcW w:w="1440" w:type="dxa"/>
            <w:tcBorders>
              <w:top w:val="nil"/>
              <w:bottom w:val="nil"/>
            </w:tcBorders>
            <w:vAlign w:val="center"/>
          </w:tcPr>
          <w:p w14:paraId="771D8475"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21,5</w:t>
            </w:r>
          </w:p>
        </w:tc>
        <w:tc>
          <w:tcPr>
            <w:tcW w:w="1170" w:type="dxa"/>
            <w:tcBorders>
              <w:top w:val="nil"/>
              <w:bottom w:val="nil"/>
            </w:tcBorders>
            <w:vAlign w:val="center"/>
          </w:tcPr>
          <w:p w14:paraId="426F6E52"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29,5</w:t>
            </w:r>
          </w:p>
        </w:tc>
        <w:tc>
          <w:tcPr>
            <w:tcW w:w="1350" w:type="dxa"/>
            <w:tcBorders>
              <w:top w:val="nil"/>
              <w:bottom w:val="nil"/>
            </w:tcBorders>
            <w:vAlign w:val="center"/>
          </w:tcPr>
          <w:p w14:paraId="47E81655"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20,3</w:t>
            </w:r>
          </w:p>
        </w:tc>
      </w:tr>
      <w:tr w:rsidR="002A22AC" w:rsidRPr="00A74402" w14:paraId="3CEE549A" w14:textId="77777777" w:rsidTr="0082304E">
        <w:trPr>
          <w:trHeight w:val="307"/>
        </w:trPr>
        <w:tc>
          <w:tcPr>
            <w:tcW w:w="990" w:type="dxa"/>
            <w:tcBorders>
              <w:top w:val="nil"/>
              <w:bottom w:val="nil"/>
            </w:tcBorders>
            <w:shd w:val="clear" w:color="auto" w:fill="auto"/>
            <w:noWrap/>
            <w:vAlign w:val="center"/>
            <w:hideMark/>
          </w:tcPr>
          <w:p w14:paraId="76015618"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1999-03</w:t>
            </w:r>
          </w:p>
        </w:tc>
        <w:tc>
          <w:tcPr>
            <w:tcW w:w="1170" w:type="dxa"/>
            <w:tcBorders>
              <w:top w:val="nil"/>
              <w:bottom w:val="nil"/>
            </w:tcBorders>
            <w:shd w:val="clear" w:color="auto" w:fill="auto"/>
            <w:noWrap/>
            <w:vAlign w:val="center"/>
            <w:hideMark/>
          </w:tcPr>
          <w:p w14:paraId="2C50BAD3"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21,3</w:t>
            </w:r>
          </w:p>
        </w:tc>
        <w:tc>
          <w:tcPr>
            <w:tcW w:w="990" w:type="dxa"/>
            <w:tcBorders>
              <w:top w:val="nil"/>
              <w:bottom w:val="nil"/>
            </w:tcBorders>
            <w:shd w:val="clear" w:color="auto" w:fill="auto"/>
            <w:noWrap/>
            <w:vAlign w:val="center"/>
            <w:hideMark/>
          </w:tcPr>
          <w:p w14:paraId="301BFDE8"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8,6</w:t>
            </w:r>
          </w:p>
        </w:tc>
        <w:tc>
          <w:tcPr>
            <w:tcW w:w="1080" w:type="dxa"/>
            <w:tcBorders>
              <w:top w:val="nil"/>
              <w:bottom w:val="nil"/>
            </w:tcBorders>
            <w:vAlign w:val="center"/>
          </w:tcPr>
          <w:p w14:paraId="3CE86B2C"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4,2</w:t>
            </w:r>
          </w:p>
        </w:tc>
        <w:tc>
          <w:tcPr>
            <w:tcW w:w="1170" w:type="dxa"/>
            <w:tcBorders>
              <w:top w:val="nil"/>
              <w:bottom w:val="nil"/>
            </w:tcBorders>
            <w:vAlign w:val="center"/>
          </w:tcPr>
          <w:p w14:paraId="3B64522C"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4,3</w:t>
            </w:r>
          </w:p>
        </w:tc>
        <w:tc>
          <w:tcPr>
            <w:tcW w:w="1440" w:type="dxa"/>
            <w:tcBorders>
              <w:top w:val="nil"/>
              <w:bottom w:val="nil"/>
            </w:tcBorders>
            <w:vAlign w:val="center"/>
          </w:tcPr>
          <w:p w14:paraId="12B13E00"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17,0</w:t>
            </w:r>
          </w:p>
        </w:tc>
        <w:tc>
          <w:tcPr>
            <w:tcW w:w="1170" w:type="dxa"/>
            <w:tcBorders>
              <w:top w:val="nil"/>
              <w:bottom w:val="nil"/>
            </w:tcBorders>
            <w:vAlign w:val="center"/>
          </w:tcPr>
          <w:p w14:paraId="34A43B93"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40,2</w:t>
            </w:r>
          </w:p>
        </w:tc>
        <w:tc>
          <w:tcPr>
            <w:tcW w:w="1350" w:type="dxa"/>
            <w:tcBorders>
              <w:top w:val="nil"/>
              <w:bottom w:val="nil"/>
            </w:tcBorders>
            <w:vAlign w:val="center"/>
          </w:tcPr>
          <w:p w14:paraId="1B8E4B60"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20,4</w:t>
            </w:r>
          </w:p>
        </w:tc>
      </w:tr>
      <w:tr w:rsidR="002A22AC" w:rsidRPr="00A74402" w14:paraId="42F374DE" w14:textId="77777777" w:rsidTr="0082304E">
        <w:trPr>
          <w:trHeight w:val="307"/>
        </w:trPr>
        <w:tc>
          <w:tcPr>
            <w:tcW w:w="990" w:type="dxa"/>
            <w:tcBorders>
              <w:top w:val="nil"/>
              <w:bottom w:val="nil"/>
            </w:tcBorders>
            <w:shd w:val="clear" w:color="auto" w:fill="auto"/>
            <w:noWrap/>
            <w:vAlign w:val="center"/>
          </w:tcPr>
          <w:p w14:paraId="1E3070AA"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2004-07</w:t>
            </w:r>
          </w:p>
        </w:tc>
        <w:tc>
          <w:tcPr>
            <w:tcW w:w="1170" w:type="dxa"/>
            <w:tcBorders>
              <w:top w:val="nil"/>
              <w:bottom w:val="nil"/>
            </w:tcBorders>
            <w:shd w:val="clear" w:color="auto" w:fill="auto"/>
            <w:noWrap/>
            <w:vAlign w:val="center"/>
          </w:tcPr>
          <w:p w14:paraId="435EDFA2" w14:textId="77777777" w:rsidR="002A22AC" w:rsidRPr="00A74402" w:rsidRDefault="002A22AC" w:rsidP="002A22AC">
            <w:pPr>
              <w:spacing w:line="240" w:lineRule="auto"/>
              <w:jc w:val="center"/>
              <w:rPr>
                <w:rFonts w:ascii="Times New Roman" w:eastAsia="Times New Roman" w:hAnsi="Times New Roman" w:cs="Times New Roman"/>
                <w:lang w:val="es-ES_tradnl"/>
              </w:rPr>
            </w:pPr>
            <w:r w:rsidRPr="00A74402">
              <w:rPr>
                <w:rFonts w:ascii="Times New Roman" w:eastAsia="Times New Roman" w:hAnsi="Times New Roman" w:cs="Times New Roman"/>
                <w:lang w:val="es-ES_tradnl"/>
              </w:rPr>
              <w:t>20,8</w:t>
            </w:r>
          </w:p>
        </w:tc>
        <w:tc>
          <w:tcPr>
            <w:tcW w:w="990" w:type="dxa"/>
            <w:tcBorders>
              <w:top w:val="nil"/>
              <w:bottom w:val="nil"/>
            </w:tcBorders>
            <w:shd w:val="clear" w:color="auto" w:fill="auto"/>
            <w:noWrap/>
            <w:vAlign w:val="center"/>
          </w:tcPr>
          <w:p w14:paraId="29B61455"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6,4</w:t>
            </w:r>
          </w:p>
        </w:tc>
        <w:tc>
          <w:tcPr>
            <w:tcW w:w="1080" w:type="dxa"/>
            <w:tcBorders>
              <w:top w:val="nil"/>
              <w:bottom w:val="nil"/>
            </w:tcBorders>
            <w:vAlign w:val="center"/>
          </w:tcPr>
          <w:p w14:paraId="4936C97C" w14:textId="77777777" w:rsidR="002A22AC" w:rsidRPr="00A74402" w:rsidRDefault="002A22AC" w:rsidP="002A22AC">
            <w:pPr>
              <w:spacing w:line="240" w:lineRule="auto"/>
              <w:jc w:val="center"/>
              <w:rPr>
                <w:rFonts w:ascii="Times New Roman" w:eastAsia="Times New Roman" w:hAnsi="Times New Roman" w:cs="Times New Roman"/>
                <w:lang w:val="es-ES_tradnl"/>
              </w:rPr>
            </w:pPr>
            <w:r w:rsidRPr="00A74402">
              <w:rPr>
                <w:rFonts w:ascii="Times New Roman" w:eastAsia="Times New Roman" w:hAnsi="Times New Roman" w:cs="Times New Roman"/>
                <w:lang w:val="es-ES_tradnl"/>
              </w:rPr>
              <w:t>1,2</w:t>
            </w:r>
          </w:p>
        </w:tc>
        <w:tc>
          <w:tcPr>
            <w:tcW w:w="1170" w:type="dxa"/>
            <w:tcBorders>
              <w:top w:val="nil"/>
              <w:bottom w:val="nil"/>
            </w:tcBorders>
            <w:vAlign w:val="center"/>
          </w:tcPr>
          <w:p w14:paraId="55DC7442"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5,2</w:t>
            </w:r>
          </w:p>
        </w:tc>
        <w:tc>
          <w:tcPr>
            <w:tcW w:w="1440" w:type="dxa"/>
            <w:tcBorders>
              <w:top w:val="nil"/>
              <w:bottom w:val="nil"/>
            </w:tcBorders>
            <w:vAlign w:val="center"/>
          </w:tcPr>
          <w:p w14:paraId="0564FC7E"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15,6</w:t>
            </w:r>
          </w:p>
        </w:tc>
        <w:tc>
          <w:tcPr>
            <w:tcW w:w="1170" w:type="dxa"/>
            <w:tcBorders>
              <w:top w:val="nil"/>
              <w:bottom w:val="nil"/>
            </w:tcBorders>
            <w:vAlign w:val="center"/>
          </w:tcPr>
          <w:p w14:paraId="0E373290"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30,8</w:t>
            </w:r>
          </w:p>
        </w:tc>
        <w:tc>
          <w:tcPr>
            <w:tcW w:w="1350" w:type="dxa"/>
            <w:tcBorders>
              <w:top w:val="nil"/>
              <w:bottom w:val="nil"/>
            </w:tcBorders>
            <w:vAlign w:val="center"/>
          </w:tcPr>
          <w:p w14:paraId="769B680B"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24,7</w:t>
            </w:r>
          </w:p>
        </w:tc>
      </w:tr>
      <w:tr w:rsidR="002A22AC" w:rsidRPr="00A74402" w14:paraId="1D4481E4" w14:textId="77777777" w:rsidTr="0082304E">
        <w:trPr>
          <w:trHeight w:val="307"/>
        </w:trPr>
        <w:tc>
          <w:tcPr>
            <w:tcW w:w="990" w:type="dxa"/>
            <w:tcBorders>
              <w:top w:val="nil"/>
              <w:bottom w:val="nil"/>
            </w:tcBorders>
            <w:shd w:val="clear" w:color="auto" w:fill="auto"/>
            <w:noWrap/>
            <w:vAlign w:val="center"/>
          </w:tcPr>
          <w:p w14:paraId="10D740B1"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2008-13</w:t>
            </w:r>
          </w:p>
        </w:tc>
        <w:tc>
          <w:tcPr>
            <w:tcW w:w="1170" w:type="dxa"/>
            <w:tcBorders>
              <w:top w:val="nil"/>
              <w:bottom w:val="nil"/>
            </w:tcBorders>
            <w:shd w:val="clear" w:color="auto" w:fill="auto"/>
            <w:noWrap/>
            <w:vAlign w:val="center"/>
          </w:tcPr>
          <w:p w14:paraId="2CD98A30" w14:textId="77777777" w:rsidR="002A22AC" w:rsidRPr="00A74402" w:rsidRDefault="002A22AC" w:rsidP="002A22AC">
            <w:pPr>
              <w:spacing w:line="240" w:lineRule="auto"/>
              <w:jc w:val="center"/>
              <w:rPr>
                <w:rFonts w:ascii="Times New Roman" w:eastAsia="Times New Roman" w:hAnsi="Times New Roman" w:cs="Times New Roman"/>
                <w:lang w:val="es-ES_tradnl"/>
              </w:rPr>
            </w:pPr>
            <w:r w:rsidRPr="00A74402">
              <w:rPr>
                <w:rFonts w:ascii="Times New Roman" w:eastAsia="Times New Roman" w:hAnsi="Times New Roman" w:cs="Times New Roman"/>
                <w:lang w:val="es-ES_tradnl"/>
              </w:rPr>
              <w:t>23,7</w:t>
            </w:r>
          </w:p>
        </w:tc>
        <w:tc>
          <w:tcPr>
            <w:tcW w:w="990" w:type="dxa"/>
            <w:tcBorders>
              <w:top w:val="nil"/>
              <w:bottom w:val="nil"/>
            </w:tcBorders>
            <w:shd w:val="clear" w:color="auto" w:fill="auto"/>
            <w:noWrap/>
            <w:vAlign w:val="center"/>
          </w:tcPr>
          <w:p w14:paraId="30971CA5"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9,0</w:t>
            </w:r>
          </w:p>
        </w:tc>
        <w:tc>
          <w:tcPr>
            <w:tcW w:w="1080" w:type="dxa"/>
            <w:tcBorders>
              <w:top w:val="nil"/>
              <w:bottom w:val="nil"/>
            </w:tcBorders>
            <w:vAlign w:val="center"/>
          </w:tcPr>
          <w:p w14:paraId="3032AB2D" w14:textId="77777777" w:rsidR="002A22AC" w:rsidRPr="00A74402" w:rsidRDefault="002A22AC" w:rsidP="002A22AC">
            <w:pPr>
              <w:spacing w:line="240" w:lineRule="auto"/>
              <w:jc w:val="center"/>
              <w:rPr>
                <w:rFonts w:ascii="Times New Roman" w:eastAsia="Times New Roman" w:hAnsi="Times New Roman" w:cs="Times New Roman"/>
                <w:lang w:val="es-ES_tradnl"/>
              </w:rPr>
            </w:pPr>
            <w:r w:rsidRPr="00A74402">
              <w:rPr>
                <w:rFonts w:ascii="Times New Roman" w:eastAsia="Times New Roman" w:hAnsi="Times New Roman" w:cs="Times New Roman"/>
                <w:lang w:val="es-ES_tradnl"/>
              </w:rPr>
              <w:t>1,7</w:t>
            </w:r>
          </w:p>
        </w:tc>
        <w:tc>
          <w:tcPr>
            <w:tcW w:w="1170" w:type="dxa"/>
            <w:tcBorders>
              <w:top w:val="nil"/>
              <w:bottom w:val="nil"/>
            </w:tcBorders>
            <w:vAlign w:val="center"/>
          </w:tcPr>
          <w:p w14:paraId="22DDB0E5"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7,3</w:t>
            </w:r>
          </w:p>
        </w:tc>
        <w:tc>
          <w:tcPr>
            <w:tcW w:w="1440" w:type="dxa"/>
            <w:tcBorders>
              <w:top w:val="nil"/>
              <w:bottom w:val="nil"/>
            </w:tcBorders>
            <w:vAlign w:val="center"/>
          </w:tcPr>
          <w:p w14:paraId="2DD808F9"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16,4</w:t>
            </w:r>
          </w:p>
        </w:tc>
        <w:tc>
          <w:tcPr>
            <w:tcW w:w="1170" w:type="dxa"/>
            <w:tcBorders>
              <w:top w:val="nil"/>
              <w:bottom w:val="nil"/>
            </w:tcBorders>
            <w:vAlign w:val="center"/>
          </w:tcPr>
          <w:p w14:paraId="53DD12BF"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37,8</w:t>
            </w:r>
          </w:p>
        </w:tc>
        <w:tc>
          <w:tcPr>
            <w:tcW w:w="1350" w:type="dxa"/>
            <w:tcBorders>
              <w:top w:val="nil"/>
              <w:bottom w:val="nil"/>
            </w:tcBorders>
            <w:vAlign w:val="center"/>
          </w:tcPr>
          <w:p w14:paraId="6324FE81"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30,5</w:t>
            </w:r>
          </w:p>
        </w:tc>
      </w:tr>
      <w:tr w:rsidR="002A22AC" w:rsidRPr="00A74402" w14:paraId="6A4764A4" w14:textId="77777777" w:rsidTr="0082304E">
        <w:trPr>
          <w:trHeight w:val="307"/>
        </w:trPr>
        <w:tc>
          <w:tcPr>
            <w:tcW w:w="990" w:type="dxa"/>
            <w:tcBorders>
              <w:top w:val="nil"/>
              <w:bottom w:val="single" w:sz="4" w:space="0" w:color="auto"/>
            </w:tcBorders>
            <w:shd w:val="clear" w:color="auto" w:fill="auto"/>
            <w:noWrap/>
            <w:vAlign w:val="center"/>
            <w:hideMark/>
          </w:tcPr>
          <w:p w14:paraId="6837D84D"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2014-17</w:t>
            </w:r>
          </w:p>
        </w:tc>
        <w:tc>
          <w:tcPr>
            <w:tcW w:w="1170" w:type="dxa"/>
            <w:tcBorders>
              <w:top w:val="nil"/>
              <w:bottom w:val="single" w:sz="4" w:space="0" w:color="auto"/>
            </w:tcBorders>
            <w:shd w:val="clear" w:color="auto" w:fill="auto"/>
            <w:noWrap/>
            <w:vAlign w:val="center"/>
            <w:hideMark/>
          </w:tcPr>
          <w:p w14:paraId="4171DEF5"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23,0</w:t>
            </w:r>
          </w:p>
        </w:tc>
        <w:tc>
          <w:tcPr>
            <w:tcW w:w="990" w:type="dxa"/>
            <w:tcBorders>
              <w:top w:val="nil"/>
              <w:bottom w:val="single" w:sz="4" w:space="0" w:color="auto"/>
            </w:tcBorders>
            <w:shd w:val="clear" w:color="auto" w:fill="auto"/>
            <w:noWrap/>
            <w:vAlign w:val="center"/>
            <w:hideMark/>
          </w:tcPr>
          <w:p w14:paraId="488346CD"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6,2</w:t>
            </w:r>
          </w:p>
        </w:tc>
        <w:tc>
          <w:tcPr>
            <w:tcW w:w="1080" w:type="dxa"/>
            <w:tcBorders>
              <w:top w:val="nil"/>
              <w:bottom w:val="single" w:sz="4" w:space="0" w:color="auto"/>
            </w:tcBorders>
            <w:vAlign w:val="center"/>
          </w:tcPr>
          <w:p w14:paraId="6F401297" w14:textId="77777777" w:rsidR="002A22AC" w:rsidRPr="00A74402" w:rsidRDefault="002A22AC" w:rsidP="002A22AC">
            <w:pPr>
              <w:spacing w:line="240" w:lineRule="auto"/>
              <w:jc w:val="center"/>
              <w:rPr>
                <w:rFonts w:ascii="Times New Roman" w:eastAsia="Times New Roman" w:hAnsi="Times New Roman" w:cs="Times New Roman"/>
                <w:lang w:val="es-ES_tradnl"/>
              </w:rPr>
            </w:pPr>
            <w:r w:rsidRPr="00A74402">
              <w:rPr>
                <w:rFonts w:ascii="Times New Roman" w:eastAsia="Times New Roman" w:hAnsi="Times New Roman" w:cs="Times New Roman"/>
                <w:lang w:val="es-ES_tradnl"/>
              </w:rPr>
              <w:t>2,5</w:t>
            </w:r>
          </w:p>
        </w:tc>
        <w:tc>
          <w:tcPr>
            <w:tcW w:w="1170" w:type="dxa"/>
            <w:tcBorders>
              <w:top w:val="nil"/>
              <w:bottom w:val="single" w:sz="4" w:space="0" w:color="auto"/>
            </w:tcBorders>
            <w:vAlign w:val="center"/>
          </w:tcPr>
          <w:p w14:paraId="08162F2F"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3,8</w:t>
            </w:r>
          </w:p>
        </w:tc>
        <w:tc>
          <w:tcPr>
            <w:tcW w:w="1440" w:type="dxa"/>
            <w:tcBorders>
              <w:top w:val="nil"/>
              <w:bottom w:val="single" w:sz="4" w:space="0" w:color="auto"/>
            </w:tcBorders>
            <w:vAlign w:val="center"/>
          </w:tcPr>
          <w:p w14:paraId="561CC928"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19,3</w:t>
            </w:r>
          </w:p>
        </w:tc>
        <w:tc>
          <w:tcPr>
            <w:tcW w:w="1170" w:type="dxa"/>
            <w:tcBorders>
              <w:top w:val="nil"/>
              <w:bottom w:val="single" w:sz="4" w:space="0" w:color="auto"/>
            </w:tcBorders>
            <w:vAlign w:val="center"/>
          </w:tcPr>
          <w:p w14:paraId="295DEE61"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26,7</w:t>
            </w:r>
          </w:p>
        </w:tc>
        <w:tc>
          <w:tcPr>
            <w:tcW w:w="1350" w:type="dxa"/>
            <w:tcBorders>
              <w:top w:val="nil"/>
              <w:bottom w:val="single" w:sz="4" w:space="0" w:color="auto"/>
            </w:tcBorders>
            <w:vAlign w:val="center"/>
          </w:tcPr>
          <w:p w14:paraId="138ED9D4" w14:textId="77777777" w:rsidR="002A22AC" w:rsidRPr="00A74402" w:rsidRDefault="002A22AC" w:rsidP="002A22AC">
            <w:pPr>
              <w:spacing w:line="240" w:lineRule="auto"/>
              <w:jc w:val="center"/>
              <w:rPr>
                <w:rFonts w:ascii="Times New Roman" w:eastAsia="Times New Roman" w:hAnsi="Times New Roman" w:cs="Times New Roman"/>
                <w:color w:val="000000"/>
                <w:lang w:val="es-ES_tradnl"/>
              </w:rPr>
            </w:pPr>
            <w:r w:rsidRPr="00A74402">
              <w:rPr>
                <w:rFonts w:ascii="Times New Roman" w:eastAsia="Times New Roman" w:hAnsi="Times New Roman" w:cs="Times New Roman"/>
                <w:color w:val="000000"/>
                <w:lang w:val="es-ES_tradnl"/>
              </w:rPr>
              <w:t>16,0</w:t>
            </w:r>
          </w:p>
        </w:tc>
      </w:tr>
    </w:tbl>
    <w:p w14:paraId="4FECE47C" w14:textId="4022E66A" w:rsidR="002A22AC" w:rsidRPr="00A74402" w:rsidRDefault="002A22AC" w:rsidP="002A22AC">
      <w:pPr>
        <w:spacing w:line="240" w:lineRule="auto"/>
        <w:ind w:right="-576"/>
        <w:rPr>
          <w:rFonts w:ascii="Times New Roman" w:eastAsia="Times New Roman" w:hAnsi="Times New Roman" w:cs="Times New Roman"/>
          <w:color w:val="000000"/>
          <w:sz w:val="20"/>
          <w:szCs w:val="20"/>
          <w:lang w:val="es-ES_tradnl"/>
        </w:rPr>
      </w:pPr>
      <w:r w:rsidRPr="00A74402">
        <w:rPr>
          <w:rFonts w:ascii="Times New Roman" w:eastAsia="Times New Roman" w:hAnsi="Times New Roman" w:cs="Times New Roman"/>
          <w:b/>
          <w:color w:val="000000"/>
          <w:sz w:val="20"/>
          <w:szCs w:val="20"/>
          <w:lang w:val="es-ES_tradnl"/>
        </w:rPr>
        <w:t>Fuentes:</w:t>
      </w:r>
      <w:r w:rsidRPr="00A74402">
        <w:rPr>
          <w:rFonts w:ascii="Times New Roman" w:eastAsia="Times New Roman" w:hAnsi="Times New Roman" w:cs="Times New Roman"/>
          <w:color w:val="000000"/>
          <w:sz w:val="20"/>
          <w:szCs w:val="20"/>
          <w:lang w:val="es-ES_tradnl"/>
        </w:rPr>
        <w:t xml:space="preserve"> Datos de Inversión Extranjera Directa bruta (IED) entre 1991 y 1998 provienen de Ffrench-Davis (2003). Entre 1999 y 2002 de la balanza de pagos según Cofré y Cornejo (2004, cuadro 1); desde 2003 de la Balanza de Pagos del Banco </w:t>
      </w:r>
      <w:r w:rsidRPr="00A74402">
        <w:rPr>
          <w:rFonts w:ascii="Times New Roman" w:eastAsia="Times New Roman" w:hAnsi="Times New Roman" w:cs="Times New Roman"/>
          <w:color w:val="000000" w:themeColor="text1"/>
          <w:sz w:val="20"/>
          <w:szCs w:val="20"/>
          <w:lang w:val="es-ES_tradnl"/>
        </w:rPr>
        <w:t>Central (201</w:t>
      </w:r>
      <w:r w:rsidR="00C36B57" w:rsidRPr="00A74402">
        <w:rPr>
          <w:rFonts w:ascii="Times New Roman" w:eastAsia="Times New Roman" w:hAnsi="Times New Roman" w:cs="Times New Roman"/>
          <w:color w:val="000000" w:themeColor="text1"/>
          <w:sz w:val="20"/>
          <w:szCs w:val="20"/>
          <w:lang w:val="es-ES_tradnl"/>
        </w:rPr>
        <w:t>8</w:t>
      </w:r>
      <w:r w:rsidRPr="00A74402">
        <w:rPr>
          <w:rFonts w:ascii="Times New Roman" w:eastAsia="Times New Roman" w:hAnsi="Times New Roman" w:cs="Times New Roman"/>
          <w:color w:val="000000" w:themeColor="text1"/>
          <w:sz w:val="20"/>
          <w:szCs w:val="20"/>
          <w:lang w:val="es-ES_tradnl"/>
        </w:rPr>
        <w:t xml:space="preserve">) serie </w:t>
      </w:r>
      <w:r w:rsidRPr="00A74402">
        <w:rPr>
          <w:rFonts w:ascii="Times New Roman" w:eastAsia="Times New Roman" w:hAnsi="Times New Roman" w:cs="Times New Roman"/>
          <w:color w:val="000000"/>
          <w:sz w:val="20"/>
          <w:szCs w:val="20"/>
          <w:lang w:val="es-ES_tradnl"/>
        </w:rPr>
        <w:t>2013. Fusiones y Adquisiciones (F&amp;A) entre 1991 y 1998 provienen de Ffrench-Davis (2003) en base a UNCTAD; para 1999 se utiliza la cifra de US$11.000 millones de Fazio (2000, p. 9); luego</w:t>
      </w:r>
      <w:r w:rsidR="00BB5ED6" w:rsidRPr="00A74402">
        <w:rPr>
          <w:rFonts w:ascii="Times New Roman" w:eastAsia="Times New Roman" w:hAnsi="Times New Roman" w:cs="Times New Roman"/>
          <w:color w:val="000000"/>
          <w:sz w:val="20"/>
          <w:szCs w:val="20"/>
          <w:lang w:val="es-ES_tradnl"/>
        </w:rPr>
        <w:t>, son</w:t>
      </w:r>
      <w:r w:rsidRPr="00A74402">
        <w:rPr>
          <w:rFonts w:ascii="Times New Roman" w:eastAsia="Times New Roman" w:hAnsi="Times New Roman" w:cs="Times New Roman"/>
          <w:color w:val="000000"/>
          <w:sz w:val="20"/>
          <w:szCs w:val="20"/>
          <w:lang w:val="es-ES_tradnl"/>
        </w:rPr>
        <w:t xml:space="preserve"> F&amp;A </w:t>
      </w:r>
      <w:r w:rsidR="00BB5ED6" w:rsidRPr="00A74402">
        <w:rPr>
          <w:rFonts w:ascii="Times New Roman" w:eastAsia="Times New Roman" w:hAnsi="Times New Roman" w:cs="Times New Roman"/>
          <w:color w:val="000000"/>
          <w:sz w:val="20"/>
          <w:szCs w:val="20"/>
          <w:lang w:val="es-ES_tradnl"/>
        </w:rPr>
        <w:t>según</w:t>
      </w:r>
      <w:r w:rsidRPr="00A74402">
        <w:rPr>
          <w:rFonts w:ascii="Times New Roman" w:eastAsia="Times New Roman" w:hAnsi="Times New Roman" w:cs="Times New Roman"/>
          <w:color w:val="000000"/>
          <w:sz w:val="20"/>
          <w:szCs w:val="20"/>
          <w:lang w:val="es-ES_tradnl"/>
        </w:rPr>
        <w:t xml:space="preserve"> InvestChile/Agencia de Promoción de la Inversión Extranjera. El resto de las cifras  proviene del Banco Central de la serie 2013</w:t>
      </w:r>
      <w:r w:rsidR="00C36B57" w:rsidRPr="00A74402">
        <w:rPr>
          <w:rFonts w:ascii="Times New Roman" w:eastAsia="Times New Roman" w:hAnsi="Times New Roman" w:cs="Times New Roman"/>
          <w:color w:val="000000"/>
          <w:sz w:val="20"/>
          <w:szCs w:val="20"/>
          <w:lang w:val="es-ES_tradnl"/>
        </w:rPr>
        <w:t xml:space="preserve"> a precios corrientes</w:t>
      </w:r>
      <w:r w:rsidRPr="00A74402">
        <w:rPr>
          <w:rFonts w:ascii="Times New Roman" w:eastAsia="Times New Roman" w:hAnsi="Times New Roman" w:cs="Times New Roman"/>
          <w:color w:val="000000"/>
          <w:sz w:val="20"/>
          <w:szCs w:val="20"/>
          <w:lang w:val="es-ES_tradnl"/>
        </w:rPr>
        <w:t>; las cifras en pesos fueron convertidas a US$ con el tipo de cambio promedio de cada año. Col. (5) es igual a cols. (1)-(4).</w:t>
      </w:r>
    </w:p>
    <w:p w14:paraId="77C20C0C" w14:textId="00BDF25F" w:rsidR="002A22AC" w:rsidRPr="00A74402" w:rsidRDefault="002A22AC" w:rsidP="002A22AC">
      <w:pPr>
        <w:jc w:val="center"/>
        <w:rPr>
          <w:rFonts w:ascii="Times New Roman" w:hAnsi="Times New Roman" w:cs="Times New Roman"/>
          <w:noProof/>
        </w:rPr>
      </w:pPr>
    </w:p>
    <w:p w14:paraId="6E167810" w14:textId="6F581BD4" w:rsidR="002A22AC" w:rsidRPr="00A74402" w:rsidRDefault="002A22AC" w:rsidP="002A22AC">
      <w:pPr>
        <w:spacing w:line="240" w:lineRule="auto"/>
        <w:jc w:val="center"/>
        <w:outlineLvl w:val="0"/>
        <w:rPr>
          <w:rFonts w:ascii="Times New Roman" w:eastAsia="MS Mincho" w:hAnsi="Times New Roman" w:cs="Times New Roman"/>
          <w:b/>
          <w:sz w:val="24"/>
          <w:szCs w:val="24"/>
          <w:lang w:val="es-ES_tradnl"/>
        </w:rPr>
      </w:pPr>
      <w:r w:rsidRPr="00A74402">
        <w:rPr>
          <w:rFonts w:ascii="Times New Roman" w:eastAsia="MS Mincho" w:hAnsi="Times New Roman" w:cs="Times New Roman"/>
          <w:b/>
          <w:sz w:val="24"/>
          <w:szCs w:val="24"/>
          <w:lang w:val="es-ES_tradnl"/>
        </w:rPr>
        <w:t xml:space="preserve">Cuadro 4. Formación </w:t>
      </w:r>
      <w:r w:rsidR="005F52A3" w:rsidRPr="00A74402">
        <w:rPr>
          <w:rFonts w:ascii="Times New Roman" w:eastAsia="MS Mincho" w:hAnsi="Times New Roman" w:cs="Times New Roman"/>
          <w:b/>
          <w:sz w:val="24"/>
          <w:szCs w:val="24"/>
          <w:lang w:val="es-ES_tradnl"/>
        </w:rPr>
        <w:t xml:space="preserve">bruta </w:t>
      </w:r>
      <w:r w:rsidRPr="00A74402">
        <w:rPr>
          <w:rFonts w:ascii="Times New Roman" w:eastAsia="MS Mincho" w:hAnsi="Times New Roman" w:cs="Times New Roman"/>
          <w:b/>
          <w:sz w:val="24"/>
          <w:szCs w:val="24"/>
          <w:lang w:val="es-ES_tradnl"/>
        </w:rPr>
        <w:t>de capital fijo y depreciación, 1974-2017</w:t>
      </w:r>
    </w:p>
    <w:p w14:paraId="6F08E356" w14:textId="5AAE8109" w:rsidR="002A22AC" w:rsidRPr="00A74402" w:rsidRDefault="002A22AC" w:rsidP="002A22AC">
      <w:pPr>
        <w:spacing w:line="240" w:lineRule="auto"/>
        <w:jc w:val="center"/>
        <w:outlineLvl w:val="0"/>
        <w:rPr>
          <w:rFonts w:ascii="Times New Roman" w:eastAsia="MS Mincho" w:hAnsi="Times New Roman" w:cs="Times New Roman"/>
          <w:sz w:val="24"/>
          <w:szCs w:val="24"/>
          <w:lang w:val="es-ES_tradnl"/>
        </w:rPr>
      </w:pPr>
      <w:r w:rsidRPr="00A74402">
        <w:rPr>
          <w:rFonts w:ascii="Times New Roman" w:eastAsia="MS Mincho" w:hAnsi="Times New Roman" w:cs="Times New Roman"/>
          <w:sz w:val="24"/>
          <w:szCs w:val="24"/>
          <w:lang w:val="es-ES_tradnl"/>
        </w:rPr>
        <w:t>(% del PIB y tasas de crecimiento del PIB</w:t>
      </w:r>
      <w:r w:rsidR="00B57748" w:rsidRPr="00A74402">
        <w:rPr>
          <w:rFonts w:ascii="Times New Roman" w:eastAsia="MS Mincho" w:hAnsi="Times New Roman" w:cs="Times New Roman"/>
          <w:sz w:val="24"/>
          <w:szCs w:val="24"/>
          <w:lang w:val="es-ES_tradnl"/>
        </w:rPr>
        <w:t xml:space="preserve"> a precios constantes</w:t>
      </w:r>
      <w:r w:rsidRPr="00A74402">
        <w:rPr>
          <w:rFonts w:ascii="Times New Roman" w:eastAsia="MS Mincho" w:hAnsi="Times New Roman" w:cs="Times New Roman"/>
          <w:sz w:val="24"/>
          <w:szCs w:val="24"/>
          <w:lang w:val="es-ES_tradnl"/>
        </w:rPr>
        <w:t xml:space="preserve">) </w:t>
      </w:r>
    </w:p>
    <w:tbl>
      <w:tblPr>
        <w:tblW w:w="8612" w:type="dxa"/>
        <w:tblLook w:val="04A0" w:firstRow="1" w:lastRow="0" w:firstColumn="1" w:lastColumn="0" w:noHBand="0" w:noVBand="1"/>
      </w:tblPr>
      <w:tblGrid>
        <w:gridCol w:w="1880"/>
        <w:gridCol w:w="1313"/>
        <w:gridCol w:w="1085"/>
        <w:gridCol w:w="1914"/>
        <w:gridCol w:w="2420"/>
      </w:tblGrid>
      <w:tr w:rsidR="002A22AC" w:rsidRPr="00A74402" w14:paraId="2059D9CC" w14:textId="77777777" w:rsidTr="00BB574E">
        <w:trPr>
          <w:trHeight w:val="381"/>
        </w:trPr>
        <w:tc>
          <w:tcPr>
            <w:tcW w:w="1880" w:type="dxa"/>
            <w:tcBorders>
              <w:top w:val="single" w:sz="4" w:space="0" w:color="auto"/>
              <w:left w:val="nil"/>
              <w:bottom w:val="single" w:sz="4" w:space="0" w:color="auto"/>
              <w:right w:val="nil"/>
            </w:tcBorders>
            <w:shd w:val="clear" w:color="auto" w:fill="F2F2F2"/>
            <w:noWrap/>
            <w:vAlign w:val="center"/>
            <w:hideMark/>
          </w:tcPr>
          <w:p w14:paraId="43065F3D" w14:textId="77777777" w:rsidR="002A22AC" w:rsidRPr="00A74402" w:rsidRDefault="002A22AC" w:rsidP="002A22AC">
            <w:pPr>
              <w:spacing w:line="240" w:lineRule="auto"/>
              <w:jc w:val="left"/>
              <w:rPr>
                <w:rFonts w:ascii="Times New Roman" w:eastAsia="Times New Roman" w:hAnsi="Times New Roman" w:cs="Times New Roman"/>
                <w:color w:val="000000"/>
                <w:sz w:val="24"/>
                <w:szCs w:val="24"/>
                <w:lang w:val="es-ES_tradnl"/>
              </w:rPr>
            </w:pPr>
          </w:p>
        </w:tc>
        <w:tc>
          <w:tcPr>
            <w:tcW w:w="1313" w:type="dxa"/>
            <w:tcBorders>
              <w:top w:val="single" w:sz="4" w:space="0" w:color="auto"/>
              <w:left w:val="nil"/>
              <w:bottom w:val="single" w:sz="4" w:space="0" w:color="auto"/>
              <w:right w:val="nil"/>
            </w:tcBorders>
            <w:shd w:val="clear" w:color="auto" w:fill="F2F2F2"/>
            <w:noWrap/>
            <w:vAlign w:val="center"/>
            <w:hideMark/>
          </w:tcPr>
          <w:p w14:paraId="668090E2"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FBKF</w:t>
            </w:r>
          </w:p>
        </w:tc>
        <w:tc>
          <w:tcPr>
            <w:tcW w:w="1085" w:type="dxa"/>
            <w:tcBorders>
              <w:top w:val="single" w:sz="4" w:space="0" w:color="auto"/>
              <w:left w:val="nil"/>
              <w:bottom w:val="single" w:sz="4" w:space="0" w:color="auto"/>
              <w:right w:val="nil"/>
            </w:tcBorders>
            <w:shd w:val="clear" w:color="auto" w:fill="F2F2F2"/>
            <w:noWrap/>
            <w:vAlign w:val="center"/>
            <w:hideMark/>
          </w:tcPr>
          <w:p w14:paraId="6D431341"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DK</w:t>
            </w:r>
          </w:p>
        </w:tc>
        <w:tc>
          <w:tcPr>
            <w:tcW w:w="1914" w:type="dxa"/>
            <w:tcBorders>
              <w:top w:val="single" w:sz="4" w:space="0" w:color="auto"/>
              <w:left w:val="nil"/>
              <w:bottom w:val="single" w:sz="4" w:space="0" w:color="auto"/>
              <w:right w:val="nil"/>
            </w:tcBorders>
            <w:shd w:val="clear" w:color="auto" w:fill="F2F2F2"/>
            <w:noWrap/>
            <w:vAlign w:val="center"/>
            <w:hideMark/>
          </w:tcPr>
          <w:p w14:paraId="414686B2"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FNKF</w:t>
            </w:r>
          </w:p>
        </w:tc>
        <w:tc>
          <w:tcPr>
            <w:tcW w:w="2420" w:type="dxa"/>
            <w:tcBorders>
              <w:top w:val="single" w:sz="4" w:space="0" w:color="auto"/>
              <w:left w:val="nil"/>
              <w:bottom w:val="single" w:sz="4" w:space="0" w:color="auto"/>
              <w:right w:val="nil"/>
            </w:tcBorders>
            <w:shd w:val="clear" w:color="auto" w:fill="F2F2F2"/>
            <w:noWrap/>
            <w:vAlign w:val="center"/>
            <w:hideMark/>
          </w:tcPr>
          <w:p w14:paraId="49AA2BA9"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PIB</w:t>
            </w:r>
          </w:p>
        </w:tc>
      </w:tr>
      <w:tr w:rsidR="002A22AC" w:rsidRPr="00A74402" w14:paraId="3B609610" w14:textId="77777777" w:rsidTr="00BB574E">
        <w:trPr>
          <w:trHeight w:val="363"/>
        </w:trPr>
        <w:tc>
          <w:tcPr>
            <w:tcW w:w="1880" w:type="dxa"/>
            <w:tcBorders>
              <w:top w:val="single" w:sz="4" w:space="0" w:color="auto"/>
              <w:left w:val="nil"/>
              <w:bottom w:val="single" w:sz="8" w:space="0" w:color="000000"/>
              <w:right w:val="nil"/>
            </w:tcBorders>
            <w:shd w:val="clear" w:color="auto" w:fill="F2F2F2"/>
            <w:vAlign w:val="center"/>
            <w:hideMark/>
          </w:tcPr>
          <w:p w14:paraId="32053410" w14:textId="77777777" w:rsidR="002A22AC" w:rsidRPr="00A74402" w:rsidRDefault="002A22AC" w:rsidP="002A22AC">
            <w:pPr>
              <w:spacing w:line="240" w:lineRule="auto"/>
              <w:jc w:val="left"/>
              <w:rPr>
                <w:rFonts w:ascii="Times New Roman" w:eastAsia="Times New Roman" w:hAnsi="Times New Roman" w:cs="Times New Roman"/>
                <w:color w:val="000000"/>
                <w:sz w:val="24"/>
                <w:szCs w:val="24"/>
                <w:lang w:val="es-ES_tradnl"/>
              </w:rPr>
            </w:pPr>
          </w:p>
        </w:tc>
        <w:tc>
          <w:tcPr>
            <w:tcW w:w="1313" w:type="dxa"/>
            <w:tcBorders>
              <w:top w:val="single" w:sz="4" w:space="0" w:color="auto"/>
              <w:left w:val="nil"/>
              <w:bottom w:val="single" w:sz="8" w:space="0" w:color="auto"/>
              <w:right w:val="nil"/>
            </w:tcBorders>
            <w:shd w:val="clear" w:color="auto" w:fill="F2F2F2"/>
            <w:noWrap/>
            <w:vAlign w:val="center"/>
            <w:hideMark/>
          </w:tcPr>
          <w:p w14:paraId="0CAB1232"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(1)</w:t>
            </w:r>
          </w:p>
        </w:tc>
        <w:tc>
          <w:tcPr>
            <w:tcW w:w="1085" w:type="dxa"/>
            <w:tcBorders>
              <w:top w:val="single" w:sz="4" w:space="0" w:color="auto"/>
              <w:left w:val="nil"/>
              <w:bottom w:val="single" w:sz="8" w:space="0" w:color="auto"/>
              <w:right w:val="nil"/>
            </w:tcBorders>
            <w:shd w:val="clear" w:color="auto" w:fill="F2F2F2"/>
            <w:noWrap/>
            <w:vAlign w:val="center"/>
            <w:hideMark/>
          </w:tcPr>
          <w:p w14:paraId="19E5CD7A"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(2)</w:t>
            </w:r>
          </w:p>
        </w:tc>
        <w:tc>
          <w:tcPr>
            <w:tcW w:w="1914" w:type="dxa"/>
            <w:tcBorders>
              <w:top w:val="single" w:sz="4" w:space="0" w:color="auto"/>
              <w:left w:val="nil"/>
              <w:bottom w:val="single" w:sz="8" w:space="0" w:color="auto"/>
              <w:right w:val="nil"/>
            </w:tcBorders>
            <w:shd w:val="clear" w:color="auto" w:fill="F2F2F2"/>
            <w:noWrap/>
            <w:vAlign w:val="center"/>
            <w:hideMark/>
          </w:tcPr>
          <w:p w14:paraId="20087579"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(3)=(1)-(2)</w:t>
            </w:r>
          </w:p>
        </w:tc>
        <w:tc>
          <w:tcPr>
            <w:tcW w:w="2420" w:type="dxa"/>
            <w:tcBorders>
              <w:top w:val="single" w:sz="4" w:space="0" w:color="auto"/>
              <w:left w:val="nil"/>
              <w:bottom w:val="single" w:sz="8" w:space="0" w:color="auto"/>
              <w:right w:val="nil"/>
            </w:tcBorders>
            <w:shd w:val="clear" w:color="auto" w:fill="F2F2F2"/>
            <w:noWrap/>
            <w:vAlign w:val="center"/>
            <w:hideMark/>
          </w:tcPr>
          <w:p w14:paraId="7F8F669D"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(4)</w:t>
            </w:r>
          </w:p>
        </w:tc>
      </w:tr>
      <w:tr w:rsidR="002A22AC" w:rsidRPr="00A74402" w14:paraId="70E4F2B6" w14:textId="77777777" w:rsidTr="0082304E">
        <w:trPr>
          <w:trHeight w:val="432"/>
        </w:trPr>
        <w:tc>
          <w:tcPr>
            <w:tcW w:w="1880" w:type="dxa"/>
            <w:tcBorders>
              <w:top w:val="nil"/>
              <w:left w:val="nil"/>
              <w:bottom w:val="nil"/>
              <w:right w:val="nil"/>
            </w:tcBorders>
            <w:shd w:val="clear" w:color="auto" w:fill="auto"/>
            <w:noWrap/>
            <w:vAlign w:val="center"/>
            <w:hideMark/>
          </w:tcPr>
          <w:p w14:paraId="0369B590"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1974-1989</w:t>
            </w:r>
          </w:p>
        </w:tc>
        <w:tc>
          <w:tcPr>
            <w:tcW w:w="1313" w:type="dxa"/>
            <w:tcBorders>
              <w:top w:val="nil"/>
              <w:left w:val="nil"/>
              <w:bottom w:val="nil"/>
              <w:right w:val="nil"/>
            </w:tcBorders>
            <w:shd w:val="clear" w:color="auto" w:fill="auto"/>
            <w:noWrap/>
            <w:vAlign w:val="center"/>
            <w:hideMark/>
          </w:tcPr>
          <w:p w14:paraId="09670F50"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14,6</w:t>
            </w:r>
          </w:p>
        </w:tc>
        <w:tc>
          <w:tcPr>
            <w:tcW w:w="1085" w:type="dxa"/>
            <w:tcBorders>
              <w:top w:val="nil"/>
              <w:left w:val="nil"/>
              <w:bottom w:val="nil"/>
              <w:right w:val="nil"/>
            </w:tcBorders>
            <w:shd w:val="clear" w:color="auto" w:fill="auto"/>
            <w:noWrap/>
            <w:vAlign w:val="center"/>
            <w:hideMark/>
          </w:tcPr>
          <w:p w14:paraId="51C313CD"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9,9</w:t>
            </w:r>
          </w:p>
        </w:tc>
        <w:tc>
          <w:tcPr>
            <w:tcW w:w="1914" w:type="dxa"/>
            <w:tcBorders>
              <w:top w:val="nil"/>
              <w:left w:val="nil"/>
              <w:bottom w:val="nil"/>
              <w:right w:val="nil"/>
            </w:tcBorders>
            <w:shd w:val="clear" w:color="auto" w:fill="auto"/>
            <w:noWrap/>
            <w:vAlign w:val="center"/>
            <w:hideMark/>
          </w:tcPr>
          <w:p w14:paraId="43DB91F7"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4,7</w:t>
            </w:r>
          </w:p>
        </w:tc>
        <w:tc>
          <w:tcPr>
            <w:tcW w:w="2420" w:type="dxa"/>
            <w:tcBorders>
              <w:top w:val="nil"/>
              <w:left w:val="nil"/>
              <w:bottom w:val="nil"/>
              <w:right w:val="nil"/>
            </w:tcBorders>
            <w:shd w:val="clear" w:color="auto" w:fill="auto"/>
            <w:noWrap/>
            <w:vAlign w:val="center"/>
            <w:hideMark/>
          </w:tcPr>
          <w:p w14:paraId="597B792F" w14:textId="77777777" w:rsidR="002A22AC" w:rsidRPr="00A74402" w:rsidRDefault="002A22AC" w:rsidP="002A22AC">
            <w:pPr>
              <w:spacing w:line="240" w:lineRule="auto"/>
              <w:jc w:val="center"/>
              <w:rPr>
                <w:rFonts w:ascii="Times New Roman" w:eastAsia="Times New Roman" w:hAnsi="Times New Roman" w:cs="Times New Roman"/>
                <w:sz w:val="24"/>
                <w:szCs w:val="24"/>
                <w:lang w:val="es-ES_tradnl"/>
              </w:rPr>
            </w:pPr>
            <w:r w:rsidRPr="00A74402">
              <w:rPr>
                <w:rFonts w:ascii="Times New Roman" w:eastAsia="Times New Roman" w:hAnsi="Times New Roman" w:cs="Times New Roman"/>
                <w:sz w:val="24"/>
                <w:szCs w:val="24"/>
                <w:lang w:val="es-ES_tradnl"/>
              </w:rPr>
              <w:t>2,9</w:t>
            </w:r>
          </w:p>
        </w:tc>
      </w:tr>
      <w:tr w:rsidR="002A22AC" w:rsidRPr="00A74402" w14:paraId="7C41BA97" w14:textId="77777777" w:rsidTr="002A22AC">
        <w:trPr>
          <w:trHeight w:val="670"/>
        </w:trPr>
        <w:tc>
          <w:tcPr>
            <w:tcW w:w="1880" w:type="dxa"/>
            <w:tcBorders>
              <w:top w:val="nil"/>
              <w:left w:val="nil"/>
              <w:bottom w:val="nil"/>
              <w:right w:val="nil"/>
            </w:tcBorders>
            <w:shd w:val="clear" w:color="auto" w:fill="auto"/>
            <w:noWrap/>
            <w:vAlign w:val="center"/>
            <w:hideMark/>
          </w:tcPr>
          <w:p w14:paraId="1A402CE0"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1990-1998</w:t>
            </w:r>
          </w:p>
        </w:tc>
        <w:tc>
          <w:tcPr>
            <w:tcW w:w="1313" w:type="dxa"/>
            <w:tcBorders>
              <w:top w:val="nil"/>
              <w:left w:val="nil"/>
              <w:bottom w:val="nil"/>
              <w:right w:val="nil"/>
            </w:tcBorders>
            <w:shd w:val="clear" w:color="auto" w:fill="auto"/>
            <w:noWrap/>
            <w:vAlign w:val="center"/>
            <w:hideMark/>
          </w:tcPr>
          <w:p w14:paraId="2B06517D"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21,8</w:t>
            </w:r>
          </w:p>
        </w:tc>
        <w:tc>
          <w:tcPr>
            <w:tcW w:w="1085" w:type="dxa"/>
            <w:tcBorders>
              <w:top w:val="nil"/>
              <w:left w:val="nil"/>
              <w:bottom w:val="nil"/>
              <w:right w:val="nil"/>
            </w:tcBorders>
            <w:shd w:val="clear" w:color="auto" w:fill="auto"/>
            <w:noWrap/>
            <w:vAlign w:val="center"/>
            <w:hideMark/>
          </w:tcPr>
          <w:p w14:paraId="2C70E029"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7,8</w:t>
            </w:r>
          </w:p>
        </w:tc>
        <w:tc>
          <w:tcPr>
            <w:tcW w:w="1914" w:type="dxa"/>
            <w:tcBorders>
              <w:top w:val="nil"/>
              <w:left w:val="nil"/>
              <w:bottom w:val="nil"/>
              <w:right w:val="nil"/>
            </w:tcBorders>
            <w:shd w:val="clear" w:color="auto" w:fill="auto"/>
            <w:noWrap/>
            <w:vAlign w:val="center"/>
            <w:hideMark/>
          </w:tcPr>
          <w:p w14:paraId="01543DC5"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14,0</w:t>
            </w:r>
          </w:p>
        </w:tc>
        <w:tc>
          <w:tcPr>
            <w:tcW w:w="2420" w:type="dxa"/>
            <w:tcBorders>
              <w:top w:val="nil"/>
              <w:left w:val="nil"/>
              <w:bottom w:val="nil"/>
              <w:right w:val="nil"/>
            </w:tcBorders>
            <w:shd w:val="clear" w:color="auto" w:fill="auto"/>
            <w:noWrap/>
            <w:vAlign w:val="center"/>
            <w:hideMark/>
          </w:tcPr>
          <w:p w14:paraId="17D25CE0" w14:textId="77777777" w:rsidR="002A22AC" w:rsidRPr="00A74402" w:rsidRDefault="002A22AC" w:rsidP="002A22AC">
            <w:pPr>
              <w:spacing w:line="240" w:lineRule="auto"/>
              <w:jc w:val="center"/>
              <w:rPr>
                <w:rFonts w:ascii="Times New Roman" w:eastAsia="Times New Roman" w:hAnsi="Times New Roman" w:cs="Times New Roman"/>
                <w:sz w:val="24"/>
                <w:szCs w:val="24"/>
                <w:lang w:val="es-ES_tradnl"/>
              </w:rPr>
            </w:pPr>
            <w:r w:rsidRPr="00A74402">
              <w:rPr>
                <w:rFonts w:ascii="Times New Roman" w:eastAsia="Times New Roman" w:hAnsi="Times New Roman" w:cs="Times New Roman"/>
                <w:sz w:val="24"/>
                <w:szCs w:val="24"/>
                <w:lang w:val="es-ES_tradnl"/>
              </w:rPr>
              <w:t>7,1</w:t>
            </w:r>
          </w:p>
        </w:tc>
      </w:tr>
      <w:tr w:rsidR="002A22AC" w:rsidRPr="00A74402" w14:paraId="53957997" w14:textId="77777777" w:rsidTr="002A22AC">
        <w:trPr>
          <w:trHeight w:val="526"/>
        </w:trPr>
        <w:tc>
          <w:tcPr>
            <w:tcW w:w="1880" w:type="dxa"/>
            <w:tcBorders>
              <w:top w:val="nil"/>
              <w:left w:val="nil"/>
              <w:bottom w:val="nil"/>
              <w:right w:val="nil"/>
            </w:tcBorders>
            <w:shd w:val="clear" w:color="auto" w:fill="auto"/>
            <w:noWrap/>
            <w:vAlign w:val="center"/>
            <w:hideMark/>
          </w:tcPr>
          <w:p w14:paraId="00A0278F"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1999-2007</w:t>
            </w:r>
          </w:p>
        </w:tc>
        <w:tc>
          <w:tcPr>
            <w:tcW w:w="1313" w:type="dxa"/>
            <w:tcBorders>
              <w:top w:val="nil"/>
              <w:left w:val="nil"/>
              <w:bottom w:val="nil"/>
              <w:right w:val="nil"/>
            </w:tcBorders>
            <w:shd w:val="clear" w:color="auto" w:fill="auto"/>
            <w:noWrap/>
            <w:vAlign w:val="center"/>
            <w:hideMark/>
          </w:tcPr>
          <w:p w14:paraId="1B1A5C03"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21,2</w:t>
            </w:r>
          </w:p>
        </w:tc>
        <w:tc>
          <w:tcPr>
            <w:tcW w:w="1085" w:type="dxa"/>
            <w:tcBorders>
              <w:top w:val="nil"/>
              <w:left w:val="nil"/>
              <w:bottom w:val="nil"/>
              <w:right w:val="nil"/>
            </w:tcBorders>
            <w:shd w:val="clear" w:color="auto" w:fill="auto"/>
            <w:noWrap/>
            <w:vAlign w:val="center"/>
            <w:hideMark/>
          </w:tcPr>
          <w:p w14:paraId="5D48A85F"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9,0</w:t>
            </w:r>
          </w:p>
        </w:tc>
        <w:tc>
          <w:tcPr>
            <w:tcW w:w="1914" w:type="dxa"/>
            <w:tcBorders>
              <w:top w:val="nil"/>
              <w:left w:val="nil"/>
              <w:bottom w:val="nil"/>
              <w:right w:val="nil"/>
            </w:tcBorders>
            <w:shd w:val="clear" w:color="auto" w:fill="auto"/>
            <w:noWrap/>
            <w:vAlign w:val="center"/>
            <w:hideMark/>
          </w:tcPr>
          <w:p w14:paraId="47701C37"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12,2</w:t>
            </w:r>
          </w:p>
        </w:tc>
        <w:tc>
          <w:tcPr>
            <w:tcW w:w="2420" w:type="dxa"/>
            <w:tcBorders>
              <w:top w:val="nil"/>
              <w:left w:val="nil"/>
              <w:bottom w:val="nil"/>
              <w:right w:val="nil"/>
            </w:tcBorders>
            <w:shd w:val="clear" w:color="auto" w:fill="auto"/>
            <w:noWrap/>
            <w:vAlign w:val="center"/>
            <w:hideMark/>
          </w:tcPr>
          <w:p w14:paraId="32F74817"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4,0</w:t>
            </w:r>
          </w:p>
        </w:tc>
      </w:tr>
      <w:tr w:rsidR="002A22AC" w:rsidRPr="00A74402" w14:paraId="0B76C5F9" w14:textId="77777777" w:rsidTr="002A22AC">
        <w:trPr>
          <w:trHeight w:val="625"/>
        </w:trPr>
        <w:tc>
          <w:tcPr>
            <w:tcW w:w="1880" w:type="dxa"/>
            <w:tcBorders>
              <w:top w:val="nil"/>
              <w:left w:val="nil"/>
              <w:bottom w:val="nil"/>
              <w:right w:val="nil"/>
            </w:tcBorders>
            <w:shd w:val="clear" w:color="auto" w:fill="auto"/>
            <w:noWrap/>
            <w:vAlign w:val="center"/>
            <w:hideMark/>
          </w:tcPr>
          <w:p w14:paraId="28666A87"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2008-2013</w:t>
            </w:r>
          </w:p>
        </w:tc>
        <w:tc>
          <w:tcPr>
            <w:tcW w:w="1313" w:type="dxa"/>
            <w:tcBorders>
              <w:top w:val="nil"/>
              <w:left w:val="nil"/>
              <w:bottom w:val="nil"/>
              <w:right w:val="nil"/>
            </w:tcBorders>
            <w:shd w:val="clear" w:color="auto" w:fill="auto"/>
            <w:noWrap/>
            <w:vAlign w:val="center"/>
            <w:hideMark/>
          </w:tcPr>
          <w:p w14:paraId="7C117A42"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23,0</w:t>
            </w:r>
          </w:p>
        </w:tc>
        <w:tc>
          <w:tcPr>
            <w:tcW w:w="1085" w:type="dxa"/>
            <w:tcBorders>
              <w:top w:val="nil"/>
              <w:left w:val="nil"/>
              <w:bottom w:val="nil"/>
              <w:right w:val="nil"/>
            </w:tcBorders>
            <w:shd w:val="clear" w:color="auto" w:fill="auto"/>
            <w:noWrap/>
            <w:vAlign w:val="center"/>
            <w:hideMark/>
          </w:tcPr>
          <w:p w14:paraId="458C1F2D"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 xml:space="preserve">  12,3*</w:t>
            </w:r>
          </w:p>
          <w:p w14:paraId="2B94DC16"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(10,8)</w:t>
            </w:r>
          </w:p>
        </w:tc>
        <w:tc>
          <w:tcPr>
            <w:tcW w:w="1914" w:type="dxa"/>
            <w:tcBorders>
              <w:top w:val="nil"/>
              <w:left w:val="nil"/>
              <w:bottom w:val="nil"/>
              <w:right w:val="nil"/>
            </w:tcBorders>
            <w:shd w:val="clear" w:color="auto" w:fill="auto"/>
            <w:noWrap/>
            <w:vAlign w:val="center"/>
            <w:hideMark/>
          </w:tcPr>
          <w:p w14:paraId="08CC1090"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10,7</w:t>
            </w:r>
          </w:p>
        </w:tc>
        <w:tc>
          <w:tcPr>
            <w:tcW w:w="2420" w:type="dxa"/>
            <w:tcBorders>
              <w:top w:val="nil"/>
              <w:left w:val="nil"/>
              <w:bottom w:val="nil"/>
              <w:right w:val="nil"/>
            </w:tcBorders>
            <w:shd w:val="clear" w:color="auto" w:fill="auto"/>
            <w:noWrap/>
            <w:vAlign w:val="center"/>
            <w:hideMark/>
          </w:tcPr>
          <w:p w14:paraId="17A40C41"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sz w:val="24"/>
                <w:szCs w:val="24"/>
                <w:lang w:val="es-ES_tradnl"/>
              </w:rPr>
              <w:t>3,8</w:t>
            </w:r>
          </w:p>
        </w:tc>
      </w:tr>
      <w:tr w:rsidR="002A22AC" w:rsidRPr="00A74402" w14:paraId="054F70D2" w14:textId="77777777" w:rsidTr="002A22AC">
        <w:trPr>
          <w:trHeight w:val="418"/>
        </w:trPr>
        <w:tc>
          <w:tcPr>
            <w:tcW w:w="1880" w:type="dxa"/>
            <w:tcBorders>
              <w:top w:val="nil"/>
              <w:left w:val="nil"/>
              <w:bottom w:val="single" w:sz="8" w:space="0" w:color="auto"/>
              <w:right w:val="nil"/>
            </w:tcBorders>
            <w:shd w:val="clear" w:color="auto" w:fill="auto"/>
            <w:noWrap/>
            <w:vAlign w:val="center"/>
            <w:hideMark/>
          </w:tcPr>
          <w:p w14:paraId="6695A950"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2014-2017</w:t>
            </w:r>
          </w:p>
        </w:tc>
        <w:tc>
          <w:tcPr>
            <w:tcW w:w="1313" w:type="dxa"/>
            <w:tcBorders>
              <w:top w:val="nil"/>
              <w:left w:val="nil"/>
              <w:bottom w:val="single" w:sz="8" w:space="0" w:color="auto"/>
              <w:right w:val="nil"/>
            </w:tcBorders>
            <w:shd w:val="clear" w:color="auto" w:fill="auto"/>
            <w:noWrap/>
            <w:vAlign w:val="center"/>
            <w:hideMark/>
          </w:tcPr>
          <w:p w14:paraId="168D4353" w14:textId="77777777" w:rsidR="002A22AC" w:rsidRPr="00A74402" w:rsidRDefault="002A22AC" w:rsidP="002A22AC">
            <w:pPr>
              <w:spacing w:line="240" w:lineRule="auto"/>
              <w:jc w:val="center"/>
              <w:rPr>
                <w:rFonts w:ascii="Times New Roman" w:eastAsia="Times New Roman" w:hAnsi="Times New Roman" w:cs="Times New Roman"/>
                <w:bCs/>
                <w:color w:val="000000"/>
                <w:sz w:val="24"/>
                <w:szCs w:val="24"/>
                <w:lang w:val="es-ES_tradnl"/>
              </w:rPr>
            </w:pPr>
            <w:r w:rsidRPr="00A74402">
              <w:rPr>
                <w:rFonts w:ascii="Times New Roman" w:eastAsia="Times New Roman" w:hAnsi="Times New Roman" w:cs="Times New Roman"/>
                <w:bCs/>
                <w:color w:val="000000"/>
                <w:sz w:val="24"/>
                <w:szCs w:val="24"/>
                <w:lang w:val="es-ES_tradnl"/>
              </w:rPr>
              <w:t>22,3</w:t>
            </w:r>
          </w:p>
        </w:tc>
        <w:tc>
          <w:tcPr>
            <w:tcW w:w="1085" w:type="dxa"/>
            <w:tcBorders>
              <w:top w:val="nil"/>
              <w:left w:val="nil"/>
              <w:bottom w:val="single" w:sz="8" w:space="0" w:color="auto"/>
              <w:right w:val="nil"/>
            </w:tcBorders>
            <w:shd w:val="clear" w:color="auto" w:fill="auto"/>
            <w:noWrap/>
            <w:vAlign w:val="center"/>
            <w:hideMark/>
          </w:tcPr>
          <w:p w14:paraId="445C71C9" w14:textId="77777777" w:rsidR="002A22AC" w:rsidRPr="00A74402" w:rsidRDefault="002A22AC" w:rsidP="002A22AC">
            <w:pPr>
              <w:spacing w:line="240" w:lineRule="auto"/>
              <w:jc w:val="center"/>
              <w:rPr>
                <w:rFonts w:ascii="Times New Roman" w:eastAsia="Times New Roman" w:hAnsi="Times New Roman" w:cs="Times New Roman"/>
                <w:bCs/>
                <w:color w:val="000000"/>
                <w:sz w:val="24"/>
                <w:szCs w:val="24"/>
                <w:lang w:val="es-ES_tradnl"/>
              </w:rPr>
            </w:pPr>
            <w:r w:rsidRPr="00A74402">
              <w:rPr>
                <w:rFonts w:ascii="Times New Roman" w:eastAsia="Times New Roman" w:hAnsi="Times New Roman" w:cs="Times New Roman"/>
                <w:bCs/>
                <w:color w:val="000000"/>
                <w:sz w:val="24"/>
                <w:szCs w:val="24"/>
                <w:lang w:val="es-ES_tradnl"/>
              </w:rPr>
              <w:t>12,8</w:t>
            </w:r>
          </w:p>
        </w:tc>
        <w:tc>
          <w:tcPr>
            <w:tcW w:w="1914" w:type="dxa"/>
            <w:tcBorders>
              <w:top w:val="nil"/>
              <w:left w:val="nil"/>
              <w:bottom w:val="single" w:sz="8" w:space="0" w:color="auto"/>
              <w:right w:val="nil"/>
            </w:tcBorders>
            <w:shd w:val="clear" w:color="auto" w:fill="auto"/>
            <w:noWrap/>
            <w:vAlign w:val="center"/>
            <w:hideMark/>
          </w:tcPr>
          <w:p w14:paraId="2986136C" w14:textId="77777777" w:rsidR="002A22AC" w:rsidRPr="00A74402" w:rsidRDefault="002A22AC" w:rsidP="002A22AC">
            <w:pPr>
              <w:spacing w:line="240" w:lineRule="auto"/>
              <w:jc w:val="center"/>
              <w:rPr>
                <w:rFonts w:ascii="Times New Roman" w:eastAsia="Times New Roman" w:hAnsi="Times New Roman" w:cs="Times New Roman"/>
                <w:bCs/>
                <w:color w:val="000000"/>
                <w:sz w:val="24"/>
                <w:szCs w:val="24"/>
                <w:lang w:val="es-ES_tradnl"/>
              </w:rPr>
            </w:pPr>
            <w:r w:rsidRPr="00A74402">
              <w:rPr>
                <w:rFonts w:ascii="Times New Roman" w:eastAsia="Times New Roman" w:hAnsi="Times New Roman" w:cs="Times New Roman"/>
                <w:bCs/>
                <w:color w:val="000000"/>
                <w:sz w:val="24"/>
                <w:szCs w:val="24"/>
                <w:lang w:val="es-ES_tradnl"/>
              </w:rPr>
              <w:t>9,5</w:t>
            </w:r>
          </w:p>
        </w:tc>
        <w:tc>
          <w:tcPr>
            <w:tcW w:w="2420" w:type="dxa"/>
            <w:tcBorders>
              <w:top w:val="nil"/>
              <w:left w:val="nil"/>
              <w:bottom w:val="single" w:sz="8" w:space="0" w:color="auto"/>
              <w:right w:val="nil"/>
            </w:tcBorders>
            <w:shd w:val="clear" w:color="auto" w:fill="auto"/>
            <w:noWrap/>
            <w:vAlign w:val="center"/>
            <w:hideMark/>
          </w:tcPr>
          <w:p w14:paraId="17A3E330" w14:textId="77777777" w:rsidR="002A22AC" w:rsidRPr="00A74402" w:rsidRDefault="002A22AC" w:rsidP="002A22AC">
            <w:pPr>
              <w:spacing w:line="240" w:lineRule="auto"/>
              <w:jc w:val="center"/>
              <w:rPr>
                <w:rFonts w:ascii="Times New Roman" w:eastAsia="Times New Roman" w:hAnsi="Times New Roman" w:cs="Times New Roman"/>
                <w:color w:val="000000"/>
                <w:sz w:val="24"/>
                <w:szCs w:val="24"/>
                <w:lang w:val="es-ES_tradnl"/>
              </w:rPr>
            </w:pPr>
            <w:r w:rsidRPr="00A74402">
              <w:rPr>
                <w:rFonts w:ascii="Times New Roman" w:eastAsia="Times New Roman" w:hAnsi="Times New Roman" w:cs="Times New Roman"/>
                <w:color w:val="000000"/>
                <w:sz w:val="24"/>
                <w:szCs w:val="24"/>
                <w:lang w:val="es-ES_tradnl"/>
              </w:rPr>
              <w:t>1,7</w:t>
            </w:r>
          </w:p>
        </w:tc>
      </w:tr>
    </w:tbl>
    <w:p w14:paraId="6C52E118" w14:textId="22307546" w:rsidR="002A22AC" w:rsidRPr="00A74402" w:rsidRDefault="002A22AC" w:rsidP="002A22AC">
      <w:pPr>
        <w:spacing w:line="240" w:lineRule="auto"/>
        <w:ind w:right="288"/>
        <w:rPr>
          <w:rFonts w:ascii="Times New Roman" w:eastAsia="Times New Roman" w:hAnsi="Times New Roman" w:cs="Times New Roman"/>
          <w:color w:val="000000"/>
          <w:sz w:val="20"/>
          <w:szCs w:val="20"/>
          <w:lang w:val="es-ES_tradnl"/>
        </w:rPr>
      </w:pPr>
      <w:r w:rsidRPr="00A74402">
        <w:rPr>
          <w:rFonts w:ascii="Times New Roman" w:eastAsia="MS Mincho" w:hAnsi="Times New Roman" w:cs="Times New Roman"/>
          <w:b/>
          <w:sz w:val="20"/>
          <w:szCs w:val="20"/>
          <w:lang w:val="es-ES_tradnl"/>
        </w:rPr>
        <w:t>Fuentes:</w:t>
      </w:r>
      <w:r w:rsidRPr="00A74402">
        <w:rPr>
          <w:rFonts w:ascii="Times New Roman" w:eastAsia="MS Mincho" w:hAnsi="Times New Roman" w:cs="Times New Roman"/>
          <w:sz w:val="20"/>
          <w:szCs w:val="20"/>
          <w:lang w:val="es-ES_tradnl"/>
        </w:rPr>
        <w:t xml:space="preserve"> </w:t>
      </w:r>
      <w:r w:rsidRPr="00A74402">
        <w:rPr>
          <w:rFonts w:ascii="Times New Roman" w:eastAsia="Times New Roman" w:hAnsi="Times New Roman" w:cs="Times New Roman"/>
          <w:color w:val="000000"/>
          <w:sz w:val="20"/>
          <w:szCs w:val="20"/>
          <w:lang w:val="es-ES_tradnl"/>
        </w:rPr>
        <w:t xml:space="preserve">Basado en estimaciones de inversión </w:t>
      </w:r>
      <w:r w:rsidR="00C36B57" w:rsidRPr="00A74402">
        <w:rPr>
          <w:rFonts w:ascii="Times New Roman" w:eastAsia="Times New Roman" w:hAnsi="Times New Roman" w:cs="Times New Roman"/>
          <w:color w:val="000000"/>
          <w:sz w:val="20"/>
          <w:szCs w:val="20"/>
          <w:lang w:val="es-ES_tradnl"/>
        </w:rPr>
        <w:t>y</w:t>
      </w:r>
      <w:r w:rsidRPr="00A74402">
        <w:rPr>
          <w:rFonts w:ascii="Times New Roman" w:eastAsia="Times New Roman" w:hAnsi="Times New Roman" w:cs="Times New Roman"/>
          <w:color w:val="000000"/>
          <w:sz w:val="20"/>
          <w:szCs w:val="20"/>
          <w:lang w:val="es-ES_tradnl"/>
        </w:rPr>
        <w:t xml:space="preserve"> stock de capital a precios constantes de 2013 del Banco Central; </w:t>
      </w:r>
      <w:r w:rsidRPr="00A74402">
        <w:rPr>
          <w:rFonts w:ascii="Times New Roman" w:eastAsia="MS Mincho" w:hAnsi="Times New Roman" w:cs="Times New Roman"/>
          <w:sz w:val="20"/>
          <w:szCs w:val="20"/>
          <w:lang w:val="es-ES_tradnl"/>
        </w:rPr>
        <w:t>para 2016 y 2017 usamos la tasa de variación de la serie encadenada 2013 para FBKF y depreciación de 13,1% y 13,4%</w:t>
      </w:r>
      <w:r w:rsidR="005F52A3" w:rsidRPr="00A74402">
        <w:rPr>
          <w:rFonts w:ascii="Times New Roman" w:eastAsia="MS Mincho" w:hAnsi="Times New Roman" w:cs="Times New Roman"/>
          <w:sz w:val="20"/>
          <w:szCs w:val="20"/>
          <w:lang w:val="es-ES_tradnl"/>
        </w:rPr>
        <w:t xml:space="preserve"> del PIB</w:t>
      </w:r>
      <w:r w:rsidR="00F26334" w:rsidRPr="00A74402">
        <w:rPr>
          <w:rFonts w:ascii="Times New Roman" w:eastAsia="MS Mincho" w:hAnsi="Times New Roman" w:cs="Times New Roman"/>
          <w:sz w:val="20"/>
          <w:szCs w:val="20"/>
          <w:lang w:val="es-ES_tradnl"/>
        </w:rPr>
        <w:t>,</w:t>
      </w:r>
      <w:r w:rsidRPr="00A74402">
        <w:rPr>
          <w:rFonts w:ascii="Times New Roman" w:eastAsia="MS Mincho" w:hAnsi="Times New Roman" w:cs="Times New Roman"/>
          <w:sz w:val="20"/>
          <w:szCs w:val="20"/>
          <w:lang w:val="es-ES_tradnl"/>
        </w:rPr>
        <w:t xml:space="preserve"> respectivamente</w:t>
      </w:r>
      <w:r w:rsidR="00F26334" w:rsidRPr="00A74402">
        <w:rPr>
          <w:rFonts w:ascii="Times New Roman" w:eastAsia="MS Mincho" w:hAnsi="Times New Roman" w:cs="Times New Roman"/>
          <w:sz w:val="20"/>
          <w:szCs w:val="20"/>
          <w:lang w:val="es-ES_tradnl"/>
        </w:rPr>
        <w:t>,</w:t>
      </w:r>
      <w:r w:rsidRPr="00A74402">
        <w:rPr>
          <w:rFonts w:ascii="Times New Roman" w:eastAsia="MS Mincho" w:hAnsi="Times New Roman" w:cs="Times New Roman"/>
          <w:sz w:val="20"/>
          <w:szCs w:val="20"/>
          <w:lang w:val="es-ES_tradnl"/>
        </w:rPr>
        <w:t xml:space="preserve"> en base a DIPRES (2018).</w:t>
      </w:r>
      <w:r w:rsidRPr="00A74402">
        <w:rPr>
          <w:rFonts w:ascii="Times New Roman" w:eastAsia="Times New Roman" w:hAnsi="Times New Roman" w:cs="Times New Roman"/>
          <w:color w:val="000000"/>
          <w:sz w:val="20"/>
          <w:szCs w:val="20"/>
          <w:lang w:val="es-ES_tradnl"/>
        </w:rPr>
        <w:t xml:space="preserve"> Al no contar con una serie para el PIB a precios constantes de 2013, en la col. (4),  </w:t>
      </w:r>
      <w:r w:rsidR="00C36B57" w:rsidRPr="00A74402">
        <w:rPr>
          <w:rFonts w:ascii="Times New Roman" w:eastAsia="Times New Roman" w:hAnsi="Times New Roman" w:cs="Times New Roman"/>
          <w:color w:val="000000"/>
          <w:sz w:val="20"/>
          <w:szCs w:val="20"/>
          <w:lang w:val="es-ES_tradnl"/>
        </w:rPr>
        <w:t>se usa la misma  serie de</w:t>
      </w:r>
      <w:r w:rsidR="005C7205" w:rsidRPr="00A74402">
        <w:rPr>
          <w:rFonts w:ascii="Times New Roman" w:eastAsia="Times New Roman" w:hAnsi="Times New Roman" w:cs="Times New Roman"/>
          <w:color w:val="000000"/>
          <w:sz w:val="20"/>
          <w:szCs w:val="20"/>
          <w:lang w:val="es-ES_tradnl"/>
        </w:rPr>
        <w:t>l</w:t>
      </w:r>
      <w:r w:rsidR="00C36B57" w:rsidRPr="00A74402">
        <w:rPr>
          <w:rFonts w:ascii="Times New Roman" w:eastAsia="Times New Roman" w:hAnsi="Times New Roman" w:cs="Times New Roman"/>
          <w:color w:val="000000"/>
          <w:sz w:val="20"/>
          <w:szCs w:val="20"/>
          <w:lang w:val="es-ES_tradnl"/>
        </w:rPr>
        <w:t xml:space="preserve"> cuadro 1, col.</w:t>
      </w:r>
      <w:r w:rsidR="00F26334" w:rsidRPr="00A74402">
        <w:rPr>
          <w:rFonts w:ascii="Times New Roman" w:eastAsia="Times New Roman" w:hAnsi="Times New Roman" w:cs="Times New Roman"/>
          <w:color w:val="000000"/>
          <w:sz w:val="20"/>
          <w:szCs w:val="20"/>
          <w:lang w:val="es-ES_tradnl"/>
        </w:rPr>
        <w:t xml:space="preserve"> </w:t>
      </w:r>
      <w:r w:rsidR="00C36B57" w:rsidRPr="00A74402">
        <w:rPr>
          <w:rFonts w:ascii="Times New Roman" w:eastAsia="Times New Roman" w:hAnsi="Times New Roman" w:cs="Times New Roman"/>
          <w:color w:val="000000"/>
          <w:sz w:val="20"/>
          <w:szCs w:val="20"/>
          <w:lang w:val="es-ES_tradnl"/>
        </w:rPr>
        <w:t>(4)</w:t>
      </w:r>
      <w:r w:rsidRPr="00A74402">
        <w:rPr>
          <w:rFonts w:ascii="Times New Roman" w:eastAsia="Times New Roman" w:hAnsi="Times New Roman" w:cs="Times New Roman"/>
          <w:color w:val="000000"/>
          <w:sz w:val="20"/>
          <w:szCs w:val="20"/>
          <w:lang w:val="es-ES_tradnl"/>
        </w:rPr>
        <w:t xml:space="preserve">. </w:t>
      </w:r>
    </w:p>
    <w:p w14:paraId="53A7ED99" w14:textId="38A328A2" w:rsidR="002A22AC" w:rsidRPr="00A74402" w:rsidRDefault="00B34EF4" w:rsidP="002A22AC">
      <w:pPr>
        <w:spacing w:line="240" w:lineRule="auto"/>
        <w:ind w:right="288"/>
        <w:rPr>
          <w:rFonts w:ascii="Times New Roman" w:eastAsia="Times New Roman" w:hAnsi="Times New Roman" w:cs="Times New Roman"/>
          <w:color w:val="000000"/>
          <w:sz w:val="20"/>
          <w:szCs w:val="20"/>
          <w:lang w:val="es-ES_tradnl"/>
        </w:rPr>
      </w:pPr>
      <w:r w:rsidRPr="00A74402">
        <w:rPr>
          <w:rFonts w:ascii="Times New Roman" w:eastAsia="Times New Roman" w:hAnsi="Times New Roman" w:cs="Times New Roman"/>
          <w:color w:val="000000"/>
          <w:sz w:val="20"/>
          <w:szCs w:val="20"/>
          <w:lang w:val="es-ES_tradnl"/>
        </w:rPr>
        <w:t>* Incluye</w:t>
      </w:r>
      <w:r w:rsidR="002A22AC" w:rsidRPr="00A74402">
        <w:rPr>
          <w:rFonts w:ascii="Times New Roman" w:eastAsia="Times New Roman" w:hAnsi="Times New Roman" w:cs="Times New Roman"/>
          <w:color w:val="000000"/>
          <w:sz w:val="20"/>
          <w:szCs w:val="20"/>
          <w:lang w:val="es-ES_tradnl"/>
        </w:rPr>
        <w:t xml:space="preserve"> destrucción resultante del terremoto de 27 de febrero de 2010.  </w:t>
      </w:r>
    </w:p>
    <w:p w14:paraId="37073B99" w14:textId="77777777" w:rsidR="00C55AF7" w:rsidRPr="00A74402" w:rsidRDefault="00C55AF7" w:rsidP="00A74402">
      <w:pPr>
        <w:spacing w:line="240" w:lineRule="auto"/>
        <w:ind w:right="288"/>
        <w:rPr>
          <w:rFonts w:ascii="Times New Roman" w:eastAsia="Times New Roman" w:hAnsi="Times New Roman" w:cs="Times New Roman"/>
          <w:b/>
          <w:color w:val="000000"/>
          <w:sz w:val="24"/>
          <w:szCs w:val="24"/>
          <w:lang w:val="es-ES_tradnl"/>
        </w:rPr>
      </w:pPr>
    </w:p>
    <w:p w14:paraId="2B863440" w14:textId="77777777" w:rsidR="00C55AF7" w:rsidRPr="00A74402" w:rsidRDefault="00C55AF7" w:rsidP="00920705">
      <w:pPr>
        <w:spacing w:line="240" w:lineRule="auto"/>
        <w:ind w:left="708" w:right="288"/>
        <w:jc w:val="center"/>
        <w:rPr>
          <w:rFonts w:ascii="Times New Roman" w:eastAsia="Times New Roman" w:hAnsi="Times New Roman" w:cs="Times New Roman"/>
          <w:b/>
          <w:color w:val="000000"/>
          <w:sz w:val="24"/>
          <w:szCs w:val="24"/>
          <w:lang w:val="es-ES_tradnl"/>
        </w:rPr>
      </w:pPr>
    </w:p>
    <w:p w14:paraId="568F42A8" w14:textId="77777777" w:rsidR="00C55AF7" w:rsidRPr="00A74402" w:rsidRDefault="00C55AF7" w:rsidP="00920705">
      <w:pPr>
        <w:spacing w:line="240" w:lineRule="auto"/>
        <w:ind w:left="708" w:right="288"/>
        <w:jc w:val="center"/>
        <w:rPr>
          <w:rFonts w:ascii="Times New Roman" w:eastAsia="Times New Roman" w:hAnsi="Times New Roman" w:cs="Times New Roman"/>
          <w:b/>
          <w:color w:val="000000"/>
          <w:sz w:val="24"/>
          <w:szCs w:val="24"/>
          <w:lang w:val="es-ES_tradnl"/>
        </w:rPr>
      </w:pPr>
    </w:p>
    <w:p w14:paraId="50FD04D7" w14:textId="77777777" w:rsidR="00C55AF7" w:rsidRPr="00A74402" w:rsidRDefault="00C55AF7" w:rsidP="00920705">
      <w:pPr>
        <w:spacing w:line="240" w:lineRule="auto"/>
        <w:ind w:left="708" w:right="288"/>
        <w:jc w:val="center"/>
        <w:rPr>
          <w:rFonts w:ascii="Times New Roman" w:eastAsia="Times New Roman" w:hAnsi="Times New Roman" w:cs="Times New Roman"/>
          <w:b/>
          <w:color w:val="000000"/>
          <w:sz w:val="24"/>
          <w:szCs w:val="24"/>
          <w:lang w:val="es-ES_tradnl"/>
        </w:rPr>
      </w:pPr>
    </w:p>
    <w:p w14:paraId="15AF95D5" w14:textId="77777777" w:rsidR="00C55AF7" w:rsidRPr="00A74402" w:rsidRDefault="00C55AF7" w:rsidP="00920705">
      <w:pPr>
        <w:spacing w:line="240" w:lineRule="auto"/>
        <w:ind w:left="708" w:right="288"/>
        <w:jc w:val="center"/>
        <w:rPr>
          <w:rFonts w:ascii="Times New Roman" w:eastAsia="Times New Roman" w:hAnsi="Times New Roman" w:cs="Times New Roman"/>
          <w:b/>
          <w:color w:val="000000"/>
          <w:sz w:val="24"/>
          <w:szCs w:val="24"/>
          <w:lang w:val="es-ES_tradnl"/>
        </w:rPr>
      </w:pPr>
    </w:p>
    <w:p w14:paraId="0C13CB2C" w14:textId="77777777" w:rsidR="00C55AF7" w:rsidRPr="00A74402" w:rsidRDefault="00C55AF7" w:rsidP="00920705">
      <w:pPr>
        <w:spacing w:line="240" w:lineRule="auto"/>
        <w:ind w:left="708" w:right="288"/>
        <w:jc w:val="center"/>
        <w:rPr>
          <w:rFonts w:ascii="Times New Roman" w:eastAsia="Times New Roman" w:hAnsi="Times New Roman" w:cs="Times New Roman"/>
          <w:b/>
          <w:color w:val="000000"/>
          <w:sz w:val="24"/>
          <w:szCs w:val="24"/>
          <w:lang w:val="es-ES_tradnl"/>
        </w:rPr>
      </w:pPr>
    </w:p>
    <w:p w14:paraId="5777D3A8" w14:textId="6B933D2B" w:rsidR="00920705" w:rsidRPr="00A74402" w:rsidRDefault="00920705" w:rsidP="00920705">
      <w:pPr>
        <w:spacing w:line="240" w:lineRule="auto"/>
        <w:ind w:left="708" w:right="288"/>
        <w:jc w:val="center"/>
        <w:rPr>
          <w:rFonts w:ascii="Times New Roman" w:eastAsia="Times New Roman" w:hAnsi="Times New Roman" w:cs="Times New Roman"/>
          <w:b/>
          <w:color w:val="000000"/>
          <w:sz w:val="24"/>
          <w:szCs w:val="24"/>
          <w:lang w:val="es-ES_tradnl"/>
        </w:rPr>
      </w:pPr>
      <w:r w:rsidRPr="00A74402">
        <w:rPr>
          <w:rFonts w:ascii="Times New Roman" w:eastAsia="Times New Roman" w:hAnsi="Times New Roman" w:cs="Times New Roman"/>
          <w:b/>
          <w:color w:val="000000"/>
          <w:sz w:val="24"/>
          <w:szCs w:val="24"/>
          <w:lang w:val="es-ES_tradnl"/>
        </w:rPr>
        <w:t xml:space="preserve">Cuadro </w:t>
      </w:r>
      <w:r w:rsidR="00DC3B04" w:rsidRPr="00A74402">
        <w:rPr>
          <w:rFonts w:ascii="Times New Roman" w:eastAsia="Times New Roman" w:hAnsi="Times New Roman" w:cs="Times New Roman"/>
          <w:b/>
          <w:color w:val="000000"/>
          <w:sz w:val="24"/>
          <w:szCs w:val="24"/>
          <w:lang w:val="es-ES_tradnl"/>
        </w:rPr>
        <w:t>5</w:t>
      </w:r>
      <w:r w:rsidRPr="00A74402">
        <w:rPr>
          <w:rFonts w:ascii="Times New Roman" w:eastAsia="Times New Roman" w:hAnsi="Times New Roman" w:cs="Times New Roman"/>
          <w:b/>
          <w:color w:val="000000"/>
          <w:sz w:val="24"/>
          <w:szCs w:val="24"/>
          <w:lang w:val="es-ES_tradnl"/>
        </w:rPr>
        <w:t xml:space="preserve">. Infraestructura digital </w:t>
      </w:r>
      <w:r w:rsidR="00715528" w:rsidRPr="00A74402">
        <w:rPr>
          <w:rFonts w:ascii="Times New Roman" w:eastAsia="Times New Roman" w:hAnsi="Times New Roman" w:cs="Times New Roman"/>
          <w:b/>
          <w:color w:val="000000"/>
          <w:sz w:val="24"/>
          <w:szCs w:val="24"/>
          <w:lang w:val="es-ES_tradnl"/>
        </w:rPr>
        <w:t>en</w:t>
      </w:r>
      <w:r w:rsidRPr="00A74402">
        <w:rPr>
          <w:rFonts w:ascii="Times New Roman" w:eastAsia="Times New Roman" w:hAnsi="Times New Roman" w:cs="Times New Roman"/>
          <w:b/>
          <w:color w:val="000000"/>
          <w:sz w:val="24"/>
          <w:szCs w:val="24"/>
          <w:lang w:val="es-ES_tradnl"/>
        </w:rPr>
        <w:t xml:space="preserve"> Japón, OCDE y Chile</w:t>
      </w:r>
      <w:r w:rsidR="00715528" w:rsidRPr="00A74402">
        <w:rPr>
          <w:rFonts w:ascii="Times New Roman" w:eastAsia="Times New Roman" w:hAnsi="Times New Roman" w:cs="Times New Roman"/>
          <w:b/>
          <w:color w:val="000000"/>
          <w:sz w:val="24"/>
          <w:szCs w:val="24"/>
          <w:lang w:val="es-ES_tradnl"/>
        </w:rPr>
        <w:t>, 2016-17</w:t>
      </w:r>
    </w:p>
    <w:p w14:paraId="2900984A" w14:textId="0A9E8CBE" w:rsidR="00DC3B04" w:rsidRPr="00A74402" w:rsidRDefault="00A74402" w:rsidP="00920705">
      <w:pPr>
        <w:spacing w:line="240" w:lineRule="auto"/>
        <w:ind w:left="708" w:right="288"/>
        <w:jc w:val="center"/>
        <w:rPr>
          <w:rFonts w:ascii="Times New Roman" w:eastAsia="Times New Roman" w:hAnsi="Times New Roman" w:cs="Times New Roman"/>
          <w:b/>
          <w:color w:val="000000"/>
          <w:sz w:val="24"/>
          <w:szCs w:val="24"/>
          <w:lang w:val="es-ES_tradnl"/>
        </w:rPr>
      </w:pPr>
      <w:r w:rsidRPr="00A74402">
        <w:rPr>
          <w:rFonts w:ascii="Times New Roman" w:eastAsia="Times New Roman" w:hAnsi="Times New Roman" w:cs="Times New Roman"/>
          <w:noProof/>
          <w:color w:val="000000"/>
          <w:sz w:val="20"/>
          <w:szCs w:val="20"/>
          <w:lang w:eastAsia="es-CL"/>
        </w:rPr>
        <w:drawing>
          <wp:anchor distT="0" distB="0" distL="114300" distR="114300" simplePos="0" relativeHeight="251658240" behindDoc="0" locked="0" layoutInCell="1" allowOverlap="1" wp14:anchorId="05E3C3D2" wp14:editId="765F9DA4">
            <wp:simplePos x="0" y="0"/>
            <wp:positionH relativeFrom="margin">
              <wp:posOffset>2540</wp:posOffset>
            </wp:positionH>
            <wp:positionV relativeFrom="margin">
              <wp:posOffset>588645</wp:posOffset>
            </wp:positionV>
            <wp:extent cx="5944870" cy="16160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4870" cy="1616075"/>
                    </a:xfrm>
                    <a:prstGeom prst="rect">
                      <a:avLst/>
                    </a:prstGeom>
                  </pic:spPr>
                </pic:pic>
              </a:graphicData>
            </a:graphic>
            <wp14:sizeRelH relativeFrom="margin">
              <wp14:pctWidth>0</wp14:pctWidth>
            </wp14:sizeRelH>
            <wp14:sizeRelV relativeFrom="margin">
              <wp14:pctHeight>0</wp14:pctHeight>
            </wp14:sizeRelV>
          </wp:anchor>
        </w:drawing>
      </w:r>
    </w:p>
    <w:p w14:paraId="5A3D09E1" w14:textId="618FF094" w:rsidR="002D5820" w:rsidRPr="00A74402" w:rsidRDefault="00920705" w:rsidP="00920705">
      <w:pPr>
        <w:spacing w:line="240" w:lineRule="auto"/>
        <w:ind w:right="-576"/>
        <w:rPr>
          <w:rFonts w:ascii="Times New Roman" w:eastAsia="Times New Roman" w:hAnsi="Times New Roman" w:cs="Times New Roman"/>
          <w:color w:val="000000"/>
          <w:sz w:val="18"/>
          <w:szCs w:val="18"/>
          <w:lang w:val="es-ES_tradnl"/>
        </w:rPr>
      </w:pPr>
      <w:r w:rsidRPr="00A74402">
        <w:rPr>
          <w:rFonts w:ascii="Times New Roman" w:eastAsia="Times New Roman" w:hAnsi="Times New Roman" w:cs="Times New Roman"/>
          <w:b/>
          <w:color w:val="000000"/>
          <w:sz w:val="20"/>
          <w:szCs w:val="20"/>
          <w:lang w:val="es-ES_tradnl"/>
        </w:rPr>
        <w:t>Fuente</w:t>
      </w:r>
      <w:r w:rsidR="00715528" w:rsidRPr="00A74402">
        <w:rPr>
          <w:rFonts w:ascii="Times New Roman" w:eastAsia="Times New Roman" w:hAnsi="Times New Roman" w:cs="Times New Roman"/>
          <w:b/>
          <w:color w:val="000000"/>
          <w:sz w:val="20"/>
          <w:szCs w:val="20"/>
          <w:lang w:val="es-ES_tradnl"/>
        </w:rPr>
        <w:t>s</w:t>
      </w:r>
      <w:r w:rsidRPr="00A74402">
        <w:rPr>
          <w:rFonts w:ascii="Times New Roman" w:eastAsia="Times New Roman" w:hAnsi="Times New Roman" w:cs="Times New Roman"/>
          <w:b/>
          <w:color w:val="000000"/>
          <w:sz w:val="20"/>
          <w:szCs w:val="20"/>
          <w:lang w:val="es-ES_tradnl"/>
        </w:rPr>
        <w:t>:</w:t>
      </w:r>
      <w:r w:rsidRPr="00A74402">
        <w:rPr>
          <w:rFonts w:ascii="Times New Roman" w:eastAsia="Times New Roman" w:hAnsi="Times New Roman" w:cs="Times New Roman"/>
          <w:color w:val="000000"/>
          <w:sz w:val="20"/>
          <w:szCs w:val="20"/>
          <w:lang w:val="es-ES_tradnl"/>
        </w:rPr>
        <w:t xml:space="preserve"> SUBTEL, Programa Estratégico de Industrias Inteligentes de CORFO, OECD, ITU, Akamai (2017).</w:t>
      </w:r>
    </w:p>
    <w:p w14:paraId="604ADDE5" w14:textId="6FFA63BF" w:rsidR="00515B12" w:rsidRPr="00A74402" w:rsidRDefault="00515B12" w:rsidP="002A22AC">
      <w:pPr>
        <w:spacing w:line="240" w:lineRule="auto"/>
        <w:ind w:right="288"/>
        <w:rPr>
          <w:rFonts w:ascii="Times New Roman" w:eastAsia="Times New Roman" w:hAnsi="Times New Roman" w:cs="Times New Roman"/>
          <w:color w:val="000000"/>
          <w:sz w:val="18"/>
          <w:szCs w:val="18"/>
          <w:lang w:val="es-ES_tradnl"/>
        </w:rPr>
      </w:pPr>
    </w:p>
    <w:p w14:paraId="19C82B50" w14:textId="3735F205" w:rsidR="002A22AC" w:rsidRPr="00A74402" w:rsidRDefault="00920705" w:rsidP="002A22AC">
      <w:pPr>
        <w:jc w:val="center"/>
        <w:rPr>
          <w:rFonts w:ascii="Times New Roman" w:hAnsi="Times New Roman" w:cs="Times New Roman"/>
          <w:noProof/>
        </w:rPr>
      </w:pPr>
      <w:r w:rsidRPr="00A74402">
        <w:rPr>
          <w:rFonts w:ascii="Times New Roman" w:hAnsi="Times New Roman" w:cs="Times New Roman"/>
          <w:noProof/>
          <w:lang w:eastAsia="es-CL"/>
        </w:rPr>
        <w:drawing>
          <wp:inline distT="0" distB="0" distL="0" distR="0" wp14:anchorId="2B92744C" wp14:editId="66F3643E">
            <wp:extent cx="5601975" cy="3444697"/>
            <wp:effectExtent l="0" t="0" r="11430" b="10160"/>
            <wp:docPr id="22" name="Chart 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xmlns:mv="urn:schemas-microsoft-com:mac:vml" xmlns:mo="http://schemas.microsoft.com/office/mac/office/2008/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AE53FF" w14:textId="10E2FF97" w:rsidR="00DC1FC8" w:rsidRPr="00A74402" w:rsidRDefault="00DC1FC8" w:rsidP="0091472A">
      <w:pPr>
        <w:spacing w:line="240" w:lineRule="auto"/>
        <w:rPr>
          <w:rFonts w:ascii="Times New Roman" w:hAnsi="Times New Roman" w:cs="Times New Roman"/>
          <w:noProof/>
          <w:sz w:val="20"/>
          <w:szCs w:val="20"/>
          <w:lang w:val="en-GB"/>
        </w:rPr>
      </w:pPr>
      <w:r w:rsidRPr="00A74402">
        <w:rPr>
          <w:rFonts w:ascii="Times New Roman" w:hAnsi="Times New Roman" w:cs="Times New Roman"/>
          <w:b/>
          <w:noProof/>
          <w:sz w:val="20"/>
          <w:szCs w:val="20"/>
          <w:lang w:val="en-GB"/>
        </w:rPr>
        <w:t>Fuente:</w:t>
      </w:r>
      <w:r w:rsidRPr="00A74402">
        <w:rPr>
          <w:rFonts w:ascii="Times New Roman" w:hAnsi="Times New Roman" w:cs="Times New Roman"/>
          <w:noProof/>
          <w:sz w:val="20"/>
          <w:szCs w:val="20"/>
          <w:lang w:val="en-GB"/>
        </w:rPr>
        <w:t xml:space="preserve"> Penn World Table, versión 9.0. Feenstra, Robert C., Robert Inklaar and Marcel P. Timmer (2015), "The Next Generation of the Penn World Table"</w:t>
      </w:r>
      <w:r w:rsidR="00715528" w:rsidRPr="00A74402">
        <w:rPr>
          <w:rFonts w:ascii="Times New Roman" w:hAnsi="Times New Roman" w:cs="Times New Roman"/>
          <w:noProof/>
          <w:sz w:val="20"/>
          <w:szCs w:val="20"/>
          <w:lang w:val="en-GB"/>
        </w:rPr>
        <w:t>,</w:t>
      </w:r>
      <w:r w:rsidRPr="00A74402">
        <w:rPr>
          <w:rFonts w:ascii="Times New Roman" w:hAnsi="Times New Roman" w:cs="Times New Roman"/>
          <w:noProof/>
          <w:sz w:val="20"/>
          <w:szCs w:val="20"/>
          <w:lang w:val="en-GB"/>
        </w:rPr>
        <w:t xml:space="preserve"> </w:t>
      </w:r>
      <w:r w:rsidRPr="00A74402">
        <w:rPr>
          <w:rFonts w:ascii="Times New Roman" w:hAnsi="Times New Roman" w:cs="Times New Roman"/>
          <w:i/>
          <w:noProof/>
          <w:sz w:val="20"/>
          <w:szCs w:val="20"/>
          <w:lang w:val="en-GB"/>
        </w:rPr>
        <w:t>American Economic Review</w:t>
      </w:r>
      <w:r w:rsidRPr="00A74402">
        <w:rPr>
          <w:rFonts w:ascii="Times New Roman" w:hAnsi="Times New Roman" w:cs="Times New Roman"/>
          <w:noProof/>
          <w:sz w:val="20"/>
          <w:szCs w:val="20"/>
          <w:lang w:val="en-GB"/>
        </w:rPr>
        <w:t>, 105(10), 3150-3182. www.ggdc.net/pwt documentation for concepts &amp; methodology of data construction.</w:t>
      </w:r>
    </w:p>
    <w:p w14:paraId="6F740CAF" w14:textId="77777777" w:rsidR="0091472A" w:rsidRPr="00A74402" w:rsidRDefault="0091472A" w:rsidP="0091472A">
      <w:pPr>
        <w:spacing w:line="240" w:lineRule="auto"/>
        <w:rPr>
          <w:rFonts w:ascii="Times New Roman" w:hAnsi="Times New Roman" w:cs="Times New Roman"/>
          <w:noProof/>
          <w:sz w:val="20"/>
          <w:szCs w:val="20"/>
          <w:lang w:val="en-GB"/>
        </w:rPr>
      </w:pPr>
    </w:p>
    <w:p w14:paraId="2824631F" w14:textId="77777777" w:rsidR="00803BA6" w:rsidRPr="00A74402" w:rsidRDefault="00803BA6" w:rsidP="00803BA6">
      <w:pPr>
        <w:spacing w:line="240" w:lineRule="auto"/>
        <w:rPr>
          <w:rFonts w:ascii="Times New Roman" w:hAnsi="Times New Roman" w:cs="Times New Roman"/>
          <w:noProof/>
          <w:sz w:val="20"/>
          <w:szCs w:val="20"/>
          <w:lang w:val="en-GB"/>
        </w:rPr>
      </w:pPr>
    </w:p>
    <w:p w14:paraId="16FB5E34" w14:textId="77777777" w:rsidR="00803BA6" w:rsidRPr="00A74402" w:rsidRDefault="00803BA6" w:rsidP="00803BA6">
      <w:pPr>
        <w:jc w:val="center"/>
        <w:rPr>
          <w:rFonts w:ascii="Times New Roman" w:hAnsi="Times New Roman" w:cs="Times New Roman"/>
          <w:color w:val="FF0000"/>
          <w:lang w:val="es-ES_tradnl"/>
        </w:rPr>
      </w:pPr>
      <w:r w:rsidRPr="00A74402">
        <w:rPr>
          <w:rFonts w:ascii="Times New Roman" w:hAnsi="Times New Roman" w:cs="Times New Roman"/>
          <w:noProof/>
          <w:color w:val="FF0000"/>
          <w:highlight w:val="blue"/>
          <w:lang w:eastAsia="es-CL"/>
        </w:rPr>
        <w:drawing>
          <wp:inline distT="0" distB="0" distL="0" distR="0" wp14:anchorId="3ED6C251" wp14:editId="2AFE488B">
            <wp:extent cx="5715482" cy="3532069"/>
            <wp:effectExtent l="0" t="0" r="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59A9E0" w14:textId="77777777" w:rsidR="00803BA6" w:rsidRPr="00A74402" w:rsidRDefault="00803BA6" w:rsidP="00803BA6">
      <w:pPr>
        <w:shd w:val="clear" w:color="auto" w:fill="FFFFFF"/>
        <w:spacing w:line="240" w:lineRule="auto"/>
        <w:ind w:left="288" w:right="144"/>
        <w:rPr>
          <w:rFonts w:ascii="Times New Roman" w:eastAsia="MS Mincho" w:hAnsi="Times New Roman" w:cs="Times New Roman"/>
          <w:sz w:val="20"/>
          <w:szCs w:val="20"/>
          <w:lang w:val="es-ES_tradnl"/>
        </w:rPr>
      </w:pPr>
      <w:r w:rsidRPr="00A74402">
        <w:rPr>
          <w:rFonts w:ascii="Times New Roman" w:eastAsia="MS Mincho" w:hAnsi="Times New Roman" w:cs="Times New Roman"/>
          <w:b/>
          <w:sz w:val="20"/>
          <w:szCs w:val="20"/>
          <w:lang w:val="es-ES_tradnl"/>
        </w:rPr>
        <w:t>Fuente:</w:t>
      </w:r>
      <w:r w:rsidRPr="00A74402">
        <w:rPr>
          <w:rFonts w:ascii="Times New Roman" w:eastAsia="MS Mincho" w:hAnsi="Times New Roman" w:cs="Times New Roman"/>
          <w:sz w:val="20"/>
          <w:szCs w:val="20"/>
          <w:lang w:val="es-ES_tradnl"/>
        </w:rPr>
        <w:t xml:space="preserve"> Cuentas Nacionales del Banco Central. Se utiliza la serie de referencia 2013 hasta 2008 inclusive; se empalma para 2003-07 con tasas de variación de la serie base 2003 igual que en cuadro 2. </w:t>
      </w:r>
    </w:p>
    <w:p w14:paraId="082755BF" w14:textId="77777777" w:rsidR="00BE32F5" w:rsidRPr="00A74402" w:rsidRDefault="00BE32F5" w:rsidP="002A22AC">
      <w:pPr>
        <w:shd w:val="clear" w:color="auto" w:fill="FFFFFF"/>
        <w:spacing w:line="240" w:lineRule="auto"/>
        <w:ind w:left="288" w:right="144"/>
        <w:rPr>
          <w:rFonts w:ascii="Times New Roman" w:eastAsia="MS Mincho" w:hAnsi="Times New Roman" w:cs="Times New Roman"/>
          <w:sz w:val="20"/>
          <w:szCs w:val="20"/>
          <w:lang w:val="es-ES_tradnl"/>
        </w:rPr>
      </w:pPr>
    </w:p>
    <w:p w14:paraId="50FA4D61" w14:textId="290B7483" w:rsidR="0092035E" w:rsidRPr="00A74402" w:rsidRDefault="008452E0" w:rsidP="00DA02F2">
      <w:pPr>
        <w:jc w:val="center"/>
        <w:rPr>
          <w:rFonts w:ascii="Times New Roman" w:hAnsi="Times New Roman" w:cs="Times New Roman"/>
          <w:color w:val="FF0000"/>
          <w:lang w:val="es-ES_tradnl"/>
        </w:rPr>
      </w:pPr>
      <w:r w:rsidRPr="00A74402">
        <w:rPr>
          <w:rFonts w:ascii="Times New Roman" w:hAnsi="Times New Roman" w:cs="Times New Roman"/>
          <w:noProof/>
          <w:lang w:eastAsia="es-CL"/>
        </w:rPr>
        <w:drawing>
          <wp:inline distT="0" distB="0" distL="0" distR="0" wp14:anchorId="285553D9" wp14:editId="6C7E65C0">
            <wp:extent cx="5612130" cy="3165689"/>
            <wp:effectExtent l="0" t="0" r="127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8325FE" w14:textId="2EA72D90" w:rsidR="008452E0" w:rsidRPr="00A74402" w:rsidRDefault="008452E0" w:rsidP="008452E0">
      <w:pPr>
        <w:spacing w:line="240" w:lineRule="auto"/>
        <w:ind w:left="144" w:right="144"/>
        <w:rPr>
          <w:rFonts w:ascii="Times New Roman" w:eastAsia="MS Mincho" w:hAnsi="Times New Roman" w:cs="Times New Roman"/>
          <w:sz w:val="20"/>
          <w:szCs w:val="20"/>
          <w:lang w:val="es-ES_tradnl"/>
        </w:rPr>
      </w:pPr>
      <w:r w:rsidRPr="00A74402">
        <w:rPr>
          <w:rFonts w:ascii="Times New Roman" w:eastAsia="MS Mincho" w:hAnsi="Times New Roman" w:cs="Times New Roman"/>
          <w:b/>
          <w:sz w:val="20"/>
          <w:szCs w:val="20"/>
          <w:lang w:val="es-ES_tradnl"/>
        </w:rPr>
        <w:t>Fuente:</w:t>
      </w:r>
      <w:r w:rsidRPr="00A74402">
        <w:rPr>
          <w:rFonts w:ascii="Times New Roman" w:eastAsia="MS Mincho" w:hAnsi="Times New Roman" w:cs="Times New Roman"/>
          <w:sz w:val="20"/>
          <w:szCs w:val="20"/>
          <w:lang w:val="es-ES_tradnl"/>
        </w:rPr>
        <w:t xml:space="preserve"> Stock de capital neto a precios constantes de 2013 y fuerza de trabajo del acta del Comité del PIB tendencial (DIPRES, 2018). </w:t>
      </w:r>
    </w:p>
    <w:p w14:paraId="1E589589" w14:textId="77777777" w:rsidR="008452E0" w:rsidRPr="00A74402" w:rsidRDefault="008452E0" w:rsidP="002A22AC">
      <w:pPr>
        <w:shd w:val="clear" w:color="auto" w:fill="FFFFFF"/>
        <w:spacing w:line="240" w:lineRule="auto"/>
        <w:ind w:left="288" w:right="144"/>
        <w:rPr>
          <w:rFonts w:ascii="Times New Roman" w:eastAsia="MS Mincho" w:hAnsi="Times New Roman" w:cs="Times New Roman"/>
          <w:color w:val="222222"/>
          <w:sz w:val="24"/>
          <w:szCs w:val="24"/>
          <w:u w:val="single"/>
          <w:lang w:val="es-ES_tradnl"/>
        </w:rPr>
      </w:pPr>
    </w:p>
    <w:p w14:paraId="524C7796" w14:textId="0FAD0D20" w:rsidR="002A22AC" w:rsidRPr="00A74402" w:rsidRDefault="002A22AC" w:rsidP="00565201">
      <w:pPr>
        <w:jc w:val="center"/>
        <w:rPr>
          <w:rFonts w:ascii="Times New Roman" w:hAnsi="Times New Roman" w:cs="Times New Roman"/>
          <w:color w:val="FF0000"/>
          <w:lang w:val="es-ES_tradnl"/>
        </w:rPr>
      </w:pPr>
    </w:p>
    <w:p w14:paraId="62BB397A" w14:textId="6065EE1A" w:rsidR="008452E0" w:rsidRPr="00A74402" w:rsidRDefault="0009720A" w:rsidP="0009720A">
      <w:pPr>
        <w:spacing w:line="240" w:lineRule="auto"/>
        <w:rPr>
          <w:rFonts w:ascii="Times New Roman" w:hAnsi="Times New Roman" w:cs="Times New Roman"/>
          <w:b/>
        </w:rPr>
      </w:pPr>
      <w:r w:rsidRPr="00A74402">
        <w:rPr>
          <w:rFonts w:ascii="Times New Roman" w:hAnsi="Times New Roman" w:cs="Times New Roman"/>
          <w:noProof/>
          <w:lang w:eastAsia="es-CL"/>
        </w:rPr>
        <w:drawing>
          <wp:inline distT="0" distB="0" distL="0" distR="0" wp14:anchorId="3F2779ED" wp14:editId="16F7423D">
            <wp:extent cx="5612130" cy="2842025"/>
            <wp:effectExtent l="0" t="0" r="1270" b="317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452E0" w:rsidRPr="00A74402">
        <w:rPr>
          <w:rFonts w:ascii="Times New Roman" w:hAnsi="Times New Roman" w:cs="Times New Roman"/>
          <w:b/>
          <w:sz w:val="20"/>
          <w:szCs w:val="20"/>
        </w:rPr>
        <w:t>Fuente</w:t>
      </w:r>
      <w:r w:rsidR="0070680B" w:rsidRPr="00A74402">
        <w:rPr>
          <w:rFonts w:ascii="Times New Roman" w:hAnsi="Times New Roman" w:cs="Times New Roman"/>
          <w:b/>
          <w:sz w:val="20"/>
          <w:szCs w:val="20"/>
        </w:rPr>
        <w:t>s</w:t>
      </w:r>
      <w:r w:rsidR="008452E0" w:rsidRPr="00A74402">
        <w:rPr>
          <w:rFonts w:ascii="Times New Roman" w:hAnsi="Times New Roman" w:cs="Times New Roman"/>
          <w:b/>
          <w:sz w:val="20"/>
          <w:szCs w:val="20"/>
        </w:rPr>
        <w:t>:</w:t>
      </w:r>
      <w:r w:rsidR="008452E0" w:rsidRPr="00A74402">
        <w:rPr>
          <w:rFonts w:ascii="Times New Roman" w:hAnsi="Times New Roman" w:cs="Times New Roman"/>
          <w:b/>
        </w:rPr>
        <w:t xml:space="preserve"> </w:t>
      </w:r>
      <w:r w:rsidR="008452E0" w:rsidRPr="00A74402">
        <w:rPr>
          <w:rFonts w:ascii="Times New Roman" w:hAnsi="Times New Roman" w:cs="Times New Roman"/>
          <w:sz w:val="20"/>
          <w:szCs w:val="20"/>
        </w:rPr>
        <w:t>Para la brecha del producto</w:t>
      </w:r>
      <w:r w:rsidR="009C5CAE" w:rsidRPr="00A74402">
        <w:rPr>
          <w:rFonts w:ascii="Times New Roman" w:hAnsi="Times New Roman" w:cs="Times New Roman"/>
          <w:sz w:val="20"/>
          <w:szCs w:val="20"/>
        </w:rPr>
        <w:t xml:space="preserve"> o brecha recesiva</w:t>
      </w:r>
      <w:r w:rsidR="008452E0" w:rsidRPr="00A74402">
        <w:rPr>
          <w:rFonts w:ascii="Times New Roman" w:hAnsi="Times New Roman" w:cs="Times New Roman"/>
          <w:sz w:val="20"/>
          <w:szCs w:val="20"/>
        </w:rPr>
        <w:t xml:space="preserve"> se utiliza</w:t>
      </w:r>
      <w:r w:rsidR="00733C13" w:rsidRPr="00A74402">
        <w:rPr>
          <w:rFonts w:ascii="Times New Roman" w:hAnsi="Times New Roman" w:cs="Times New Roman"/>
          <w:sz w:val="20"/>
          <w:szCs w:val="20"/>
        </w:rPr>
        <w:t xml:space="preserve"> un promedio de las dos</w:t>
      </w:r>
      <w:r w:rsidR="008452E0" w:rsidRPr="00A74402">
        <w:rPr>
          <w:rFonts w:ascii="Times New Roman" w:hAnsi="Times New Roman" w:cs="Times New Roman"/>
          <w:sz w:val="20"/>
          <w:szCs w:val="20"/>
        </w:rPr>
        <w:t xml:space="preserve"> estimaciones del PIB potencial e</w:t>
      </w:r>
      <w:r w:rsidR="00733C13" w:rsidRPr="00A74402">
        <w:rPr>
          <w:rFonts w:ascii="Times New Roman" w:hAnsi="Times New Roman" w:cs="Times New Roman"/>
          <w:sz w:val="20"/>
          <w:szCs w:val="20"/>
        </w:rPr>
        <w:t>n</w:t>
      </w:r>
      <w:r w:rsidR="008452E0" w:rsidRPr="00A74402">
        <w:rPr>
          <w:rFonts w:ascii="Times New Roman" w:hAnsi="Times New Roman" w:cs="Times New Roman"/>
          <w:sz w:val="20"/>
          <w:szCs w:val="20"/>
        </w:rPr>
        <w:t xml:space="preserve"> Anexo I de Ffrench-Davis (2018)</w:t>
      </w:r>
      <w:r w:rsidR="0070680B" w:rsidRPr="00A74402">
        <w:rPr>
          <w:rFonts w:ascii="Times New Roman" w:hAnsi="Times New Roman" w:cs="Times New Roman"/>
          <w:sz w:val="20"/>
          <w:szCs w:val="20"/>
        </w:rPr>
        <w:t xml:space="preserve">. </w:t>
      </w:r>
      <w:r w:rsidR="00DA02F2" w:rsidRPr="00A74402">
        <w:rPr>
          <w:rFonts w:ascii="Times New Roman" w:hAnsi="Times New Roman" w:cs="Times New Roman"/>
          <w:sz w:val="20"/>
          <w:szCs w:val="20"/>
        </w:rPr>
        <w:t xml:space="preserve">Serie de FBKF </w:t>
      </w:r>
      <w:r w:rsidR="0070680B" w:rsidRPr="00A74402">
        <w:rPr>
          <w:rFonts w:ascii="Times New Roman" w:hAnsi="Times New Roman" w:cs="Times New Roman"/>
          <w:sz w:val="20"/>
          <w:szCs w:val="20"/>
        </w:rPr>
        <w:t xml:space="preserve">y PIB </w:t>
      </w:r>
      <w:r w:rsidR="00DA02F2" w:rsidRPr="00A74402">
        <w:rPr>
          <w:rFonts w:ascii="Times New Roman" w:hAnsi="Times New Roman" w:cs="Times New Roman"/>
          <w:sz w:val="20"/>
          <w:szCs w:val="20"/>
        </w:rPr>
        <w:t>a precios constantes de 2003</w:t>
      </w:r>
      <w:r w:rsidR="00733C13" w:rsidRPr="00A74402">
        <w:rPr>
          <w:rFonts w:ascii="Times New Roman" w:hAnsi="Times New Roman" w:cs="Times New Roman"/>
          <w:sz w:val="20"/>
          <w:szCs w:val="20"/>
        </w:rPr>
        <w:t xml:space="preserve"> hasta 2005; </w:t>
      </w:r>
      <w:r w:rsidR="0070680B" w:rsidRPr="00A74402">
        <w:rPr>
          <w:rFonts w:ascii="Times New Roman" w:eastAsia="Times New Roman" w:hAnsi="Times New Roman" w:cs="Times New Roman"/>
          <w:color w:val="000000"/>
          <w:sz w:val="20"/>
          <w:szCs w:val="20"/>
          <w:lang w:val="es-ES_tradnl"/>
        </w:rPr>
        <w:t>desde 2006 inclusive se utilizan las variaciones porcentuales de</w:t>
      </w:r>
      <w:r w:rsidR="00733C13" w:rsidRPr="00A74402">
        <w:rPr>
          <w:rFonts w:ascii="Times New Roman" w:eastAsia="Times New Roman" w:hAnsi="Times New Roman" w:cs="Times New Roman"/>
          <w:color w:val="000000"/>
          <w:sz w:val="20"/>
          <w:szCs w:val="20"/>
          <w:lang w:val="es-ES_tradnl"/>
        </w:rPr>
        <w:t xml:space="preserve"> ambas variables</w:t>
      </w:r>
      <w:r w:rsidR="0070680B" w:rsidRPr="00A74402">
        <w:rPr>
          <w:rFonts w:ascii="Times New Roman" w:eastAsia="Times New Roman" w:hAnsi="Times New Roman" w:cs="Times New Roman"/>
          <w:color w:val="000000"/>
          <w:sz w:val="20"/>
          <w:szCs w:val="20"/>
          <w:lang w:val="es-ES_tradnl"/>
        </w:rPr>
        <w:t xml:space="preserve"> según la serie base móvil encadenada</w:t>
      </w:r>
      <w:r w:rsidR="00733C13" w:rsidRPr="00A74402">
        <w:rPr>
          <w:rFonts w:ascii="Times New Roman" w:eastAsia="Times New Roman" w:hAnsi="Times New Roman" w:cs="Times New Roman"/>
          <w:color w:val="000000"/>
          <w:sz w:val="20"/>
          <w:szCs w:val="20"/>
          <w:lang w:val="es-ES_tradnl"/>
        </w:rPr>
        <w:t xml:space="preserve"> referencia</w:t>
      </w:r>
      <w:r w:rsidR="0070680B" w:rsidRPr="00A74402">
        <w:rPr>
          <w:rFonts w:ascii="Times New Roman" w:eastAsia="Times New Roman" w:hAnsi="Times New Roman" w:cs="Times New Roman"/>
          <w:color w:val="000000"/>
          <w:sz w:val="20"/>
          <w:szCs w:val="20"/>
          <w:lang w:val="es-ES_tradnl"/>
        </w:rPr>
        <w:t xml:space="preserve"> 2013. </w:t>
      </w:r>
    </w:p>
    <w:p w14:paraId="494508A4" w14:textId="36563E47" w:rsidR="002A22AC" w:rsidRPr="00A74402" w:rsidRDefault="002A22AC" w:rsidP="008452E0">
      <w:pPr>
        <w:jc w:val="left"/>
        <w:rPr>
          <w:rFonts w:ascii="Times New Roman" w:hAnsi="Times New Roman" w:cs="Times New Roman"/>
          <w:color w:val="FF0000"/>
          <w:lang w:val="es-ES_tradnl"/>
        </w:rPr>
      </w:pPr>
    </w:p>
    <w:p w14:paraId="6F4583A0" w14:textId="0BC8A50D" w:rsidR="00246558" w:rsidRPr="00A74402" w:rsidRDefault="00246558" w:rsidP="00246558">
      <w:pPr>
        <w:rPr>
          <w:rFonts w:ascii="Times New Roman" w:hAnsi="Times New Roman" w:cs="Times New Roman"/>
          <w:lang w:val="es-ES_tradnl"/>
        </w:rPr>
      </w:pPr>
    </w:p>
    <w:p w14:paraId="37E9C3B2" w14:textId="5C02D710" w:rsidR="00246558" w:rsidRPr="00A74402" w:rsidRDefault="00CB785A" w:rsidP="003D370E">
      <w:pPr>
        <w:rPr>
          <w:rFonts w:ascii="Times New Roman" w:hAnsi="Times New Roman" w:cs="Times New Roman"/>
          <w:b/>
        </w:rPr>
      </w:pPr>
      <w:r w:rsidRPr="00A74402">
        <w:rPr>
          <w:rFonts w:ascii="Times New Roman" w:hAnsi="Times New Roman" w:cs="Times New Roman"/>
        </w:rPr>
        <w:t xml:space="preserve"> </w:t>
      </w:r>
    </w:p>
    <w:p w14:paraId="5027D49B" w14:textId="1843E944" w:rsidR="003D370E" w:rsidRPr="00A74402" w:rsidRDefault="003D370E" w:rsidP="00246558">
      <w:pPr>
        <w:autoSpaceDE w:val="0"/>
        <w:autoSpaceDN w:val="0"/>
        <w:adjustRightInd w:val="0"/>
        <w:rPr>
          <w:rFonts w:ascii="Times New Roman" w:hAnsi="Times New Roman" w:cs="Times New Roman"/>
          <w:sz w:val="24"/>
        </w:rPr>
      </w:pPr>
      <w:r w:rsidRPr="00A74402">
        <w:rPr>
          <w:rFonts w:ascii="Times New Roman" w:hAnsi="Times New Roman" w:cs="Times New Roman"/>
          <w:noProof/>
          <w:lang w:eastAsia="es-CL"/>
        </w:rPr>
        <w:drawing>
          <wp:inline distT="0" distB="0" distL="0" distR="0" wp14:anchorId="005884C3" wp14:editId="241D29D0">
            <wp:extent cx="5600184" cy="3458482"/>
            <wp:effectExtent l="0" t="0" r="0" b="0"/>
            <wp:docPr id="3" name="Chart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 xmlns:a16="http://schemas.microsoft.com/office/drawing/2014/main" xmlns:xdr="http://schemas.openxmlformats.org/drawingml/2006/spreadsheetDrawing" xmlns:arto="http://schemas.microsoft.com/office/word/2006/arto" xmlns:mv="urn:schemas-microsoft-com:mac:vml" xmlns:mo="http://schemas.microsoft.com/office/mac/office/2008/main" id="{527582DE-4D91-4A37-A090-5BAE853C52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F1D0E7" w14:textId="02B9ADDB" w:rsidR="009E1A48" w:rsidRPr="00A74402" w:rsidRDefault="00A35CF5" w:rsidP="00A35CF5">
      <w:pPr>
        <w:autoSpaceDE w:val="0"/>
        <w:autoSpaceDN w:val="0"/>
        <w:adjustRightInd w:val="0"/>
        <w:spacing w:line="240" w:lineRule="auto"/>
        <w:ind w:right="432"/>
        <w:rPr>
          <w:rFonts w:ascii="Times New Roman" w:hAnsi="Times New Roman" w:cs="Times New Roman"/>
          <w:sz w:val="20"/>
          <w:szCs w:val="20"/>
        </w:rPr>
      </w:pPr>
      <w:r w:rsidRPr="00A74402">
        <w:rPr>
          <w:rFonts w:ascii="Times New Roman" w:hAnsi="Times New Roman" w:cs="Times New Roman"/>
          <w:b/>
          <w:bCs/>
          <w:sz w:val="20"/>
          <w:szCs w:val="20"/>
        </w:rPr>
        <w:t xml:space="preserve">Fuente: </w:t>
      </w:r>
      <w:r w:rsidR="00F71E02" w:rsidRPr="00A74402">
        <w:rPr>
          <w:rFonts w:ascii="Times New Roman" w:hAnsi="Times New Roman" w:cs="Times New Roman"/>
          <w:bCs/>
          <w:sz w:val="20"/>
          <w:szCs w:val="20"/>
        </w:rPr>
        <w:t>A</w:t>
      </w:r>
      <w:r w:rsidR="00EB7E8E" w:rsidRPr="00A74402">
        <w:rPr>
          <w:rFonts w:ascii="Times New Roman" w:hAnsi="Times New Roman" w:cs="Times New Roman"/>
          <w:bCs/>
          <w:sz w:val="20"/>
          <w:szCs w:val="20"/>
        </w:rPr>
        <w:t>gradecemos</w:t>
      </w:r>
      <w:r w:rsidRPr="00A74402">
        <w:rPr>
          <w:rFonts w:ascii="Times New Roman" w:hAnsi="Times New Roman" w:cs="Times New Roman"/>
          <w:sz w:val="20"/>
          <w:szCs w:val="20"/>
        </w:rPr>
        <w:t xml:space="preserve"> elaboración</w:t>
      </w:r>
      <w:r w:rsidR="00F71E02" w:rsidRPr="00A74402">
        <w:rPr>
          <w:rFonts w:ascii="Times New Roman" w:hAnsi="Times New Roman" w:cs="Times New Roman"/>
          <w:sz w:val="20"/>
          <w:szCs w:val="20"/>
        </w:rPr>
        <w:t xml:space="preserve"> de</w:t>
      </w:r>
      <w:r w:rsidRPr="00A74402">
        <w:rPr>
          <w:rFonts w:ascii="Times New Roman" w:hAnsi="Times New Roman" w:cs="Times New Roman"/>
          <w:sz w:val="20"/>
          <w:szCs w:val="20"/>
        </w:rPr>
        <w:t xml:space="preserve"> Claudio Aravena</w:t>
      </w:r>
      <w:r w:rsidR="00F71E02" w:rsidRPr="00A74402">
        <w:rPr>
          <w:rFonts w:ascii="Times New Roman" w:hAnsi="Times New Roman" w:cs="Times New Roman"/>
          <w:sz w:val="20"/>
          <w:szCs w:val="20"/>
        </w:rPr>
        <w:t xml:space="preserve"> con información del Banco Central</w:t>
      </w:r>
      <w:r w:rsidR="004D5D66" w:rsidRPr="00A74402">
        <w:rPr>
          <w:rFonts w:ascii="Times New Roman" w:hAnsi="Times New Roman" w:cs="Times New Roman"/>
          <w:sz w:val="20"/>
          <w:szCs w:val="20"/>
        </w:rPr>
        <w:t>;</w:t>
      </w:r>
      <w:r w:rsidRPr="00A74402">
        <w:rPr>
          <w:rFonts w:ascii="Times New Roman" w:hAnsi="Times New Roman" w:cs="Times New Roman"/>
          <w:sz w:val="20"/>
          <w:szCs w:val="20"/>
        </w:rPr>
        <w:t xml:space="preserve"> se agregaron </w:t>
      </w:r>
      <w:r w:rsidR="009C5CAE" w:rsidRPr="00A74402">
        <w:rPr>
          <w:rFonts w:ascii="Times New Roman" w:hAnsi="Times New Roman" w:cs="Times New Roman"/>
          <w:sz w:val="20"/>
          <w:szCs w:val="20"/>
        </w:rPr>
        <w:t xml:space="preserve">tasas de </w:t>
      </w:r>
      <w:r w:rsidRPr="00A74402">
        <w:rPr>
          <w:rFonts w:ascii="Times New Roman" w:hAnsi="Times New Roman" w:cs="Times New Roman"/>
          <w:sz w:val="20"/>
          <w:szCs w:val="20"/>
        </w:rPr>
        <w:t>var</w:t>
      </w:r>
      <w:r w:rsidR="009C5CAE" w:rsidRPr="00A74402">
        <w:rPr>
          <w:rFonts w:ascii="Times New Roman" w:hAnsi="Times New Roman" w:cs="Times New Roman"/>
          <w:sz w:val="20"/>
          <w:szCs w:val="20"/>
        </w:rPr>
        <w:t>iación en</w:t>
      </w:r>
      <w:r w:rsidRPr="00A74402">
        <w:rPr>
          <w:rFonts w:ascii="Times New Roman" w:hAnsi="Times New Roman" w:cs="Times New Roman"/>
          <w:sz w:val="20"/>
          <w:szCs w:val="20"/>
        </w:rPr>
        <w:t xml:space="preserve"> 2015 y 2016 </w:t>
      </w:r>
      <w:r w:rsidR="00003A2B" w:rsidRPr="00A74402">
        <w:rPr>
          <w:rFonts w:ascii="Times New Roman" w:hAnsi="Times New Roman" w:cs="Times New Roman"/>
          <w:sz w:val="20"/>
          <w:szCs w:val="20"/>
        </w:rPr>
        <w:t>según</w:t>
      </w:r>
      <w:r w:rsidRPr="00A74402">
        <w:rPr>
          <w:rFonts w:ascii="Times New Roman" w:hAnsi="Times New Roman" w:cs="Times New Roman"/>
          <w:sz w:val="20"/>
          <w:szCs w:val="20"/>
        </w:rPr>
        <w:t xml:space="preserve"> </w:t>
      </w:r>
      <w:r w:rsidR="00271BBD" w:rsidRPr="00A74402">
        <w:rPr>
          <w:rFonts w:ascii="Times New Roman" w:hAnsi="Times New Roman" w:cs="Times New Roman"/>
          <w:sz w:val="20"/>
          <w:szCs w:val="20"/>
        </w:rPr>
        <w:t>serie</w:t>
      </w:r>
      <w:r w:rsidRPr="00A74402">
        <w:rPr>
          <w:rFonts w:ascii="Times New Roman" w:hAnsi="Times New Roman" w:cs="Times New Roman"/>
          <w:sz w:val="20"/>
          <w:szCs w:val="20"/>
        </w:rPr>
        <w:t xml:space="preserve"> </w:t>
      </w:r>
      <w:r w:rsidR="00F71E02" w:rsidRPr="00A74402">
        <w:rPr>
          <w:rFonts w:ascii="Times New Roman" w:hAnsi="Times New Roman" w:cs="Times New Roman"/>
          <w:sz w:val="20"/>
          <w:szCs w:val="20"/>
        </w:rPr>
        <w:t xml:space="preserve">encadenada </w:t>
      </w:r>
      <w:r w:rsidRPr="00A74402">
        <w:rPr>
          <w:rFonts w:ascii="Times New Roman" w:hAnsi="Times New Roman" w:cs="Times New Roman"/>
          <w:sz w:val="20"/>
          <w:szCs w:val="20"/>
        </w:rPr>
        <w:t>2013.</w:t>
      </w:r>
    </w:p>
    <w:p w14:paraId="19449AB8" w14:textId="77777777" w:rsidR="009E1A48" w:rsidRPr="00A74402" w:rsidRDefault="009E1A48" w:rsidP="00A35CF5">
      <w:pPr>
        <w:autoSpaceDE w:val="0"/>
        <w:autoSpaceDN w:val="0"/>
        <w:adjustRightInd w:val="0"/>
        <w:spacing w:line="240" w:lineRule="auto"/>
        <w:ind w:right="432"/>
        <w:rPr>
          <w:rFonts w:ascii="Times New Roman" w:hAnsi="Times New Roman" w:cs="Times New Roman"/>
          <w:sz w:val="20"/>
          <w:szCs w:val="20"/>
        </w:rPr>
      </w:pPr>
    </w:p>
    <w:p w14:paraId="3B23F5B1" w14:textId="77777777" w:rsidR="00A159CE" w:rsidRPr="00A74402" w:rsidRDefault="00A159CE" w:rsidP="00A159CE">
      <w:pPr>
        <w:autoSpaceDE w:val="0"/>
        <w:autoSpaceDN w:val="0"/>
        <w:adjustRightInd w:val="0"/>
        <w:spacing w:line="240" w:lineRule="auto"/>
        <w:ind w:right="432"/>
        <w:rPr>
          <w:rFonts w:ascii="Times New Roman" w:hAnsi="Times New Roman" w:cs="Times New Roman"/>
          <w:sz w:val="20"/>
          <w:szCs w:val="20"/>
        </w:rPr>
      </w:pPr>
      <w:r w:rsidRPr="00A74402">
        <w:rPr>
          <w:rFonts w:ascii="Times New Roman" w:hAnsi="Times New Roman" w:cs="Times New Roman"/>
          <w:noProof/>
          <w:lang w:eastAsia="es-CL"/>
        </w:rPr>
        <w:drawing>
          <wp:inline distT="0" distB="0" distL="0" distR="0" wp14:anchorId="16E1D212" wp14:editId="6E85D1B5">
            <wp:extent cx="5717449" cy="3662589"/>
            <wp:effectExtent l="0" t="0" r="0" b="0"/>
            <wp:docPr id="2" name="Chart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xmlns:mv="urn:schemas-microsoft-com:mac:vml" xmlns:mo="http://schemas.microsoft.com/office/mac/office/2008/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95621D" w14:textId="77777777" w:rsidR="00A159CE" w:rsidRPr="00A74402" w:rsidRDefault="00A159CE" w:rsidP="00A159CE">
      <w:pPr>
        <w:autoSpaceDE w:val="0"/>
        <w:autoSpaceDN w:val="0"/>
        <w:adjustRightInd w:val="0"/>
        <w:spacing w:line="240" w:lineRule="auto"/>
        <w:ind w:left="144" w:right="432"/>
        <w:rPr>
          <w:rFonts w:ascii="Times New Roman" w:hAnsi="Times New Roman" w:cs="Times New Roman"/>
          <w:sz w:val="20"/>
          <w:szCs w:val="20"/>
          <w:lang w:val="es-ES_tradnl"/>
        </w:rPr>
      </w:pPr>
      <w:r w:rsidRPr="00A74402">
        <w:rPr>
          <w:rFonts w:ascii="Times New Roman" w:hAnsi="Times New Roman" w:cs="Times New Roman"/>
          <w:b/>
          <w:bCs/>
          <w:sz w:val="20"/>
          <w:szCs w:val="20"/>
          <w:lang w:val="es-ES_tradnl"/>
        </w:rPr>
        <w:t xml:space="preserve">Fuente: </w:t>
      </w:r>
      <w:r w:rsidRPr="00A74402">
        <w:rPr>
          <w:rFonts w:ascii="Times New Roman" w:hAnsi="Times New Roman" w:cs="Times New Roman"/>
          <w:sz w:val="20"/>
          <w:szCs w:val="20"/>
          <w:lang w:val="es-ES_tradnl"/>
        </w:rPr>
        <w:t xml:space="preserve">INFOR, </w:t>
      </w:r>
      <w:r w:rsidRPr="00A74402">
        <w:rPr>
          <w:rFonts w:ascii="Times New Roman" w:hAnsi="Times New Roman" w:cs="Times New Roman"/>
          <w:i/>
          <w:sz w:val="20"/>
          <w:szCs w:val="20"/>
          <w:lang w:val="es-ES_tradnl"/>
        </w:rPr>
        <w:t>Anuario Forestal 2018</w:t>
      </w:r>
      <w:r w:rsidRPr="00A74402">
        <w:rPr>
          <w:rFonts w:ascii="Times New Roman" w:hAnsi="Times New Roman" w:cs="Times New Roman"/>
          <w:sz w:val="20"/>
          <w:szCs w:val="20"/>
          <w:lang w:val="es-ES_tradnl"/>
        </w:rPr>
        <w:t>, cuadro 2.6 "Superficie de plantaciones forestales acumuladas a diciembre de cada año", pg. 18.</w:t>
      </w:r>
    </w:p>
    <w:p w14:paraId="324A61A4" w14:textId="3F92C872" w:rsidR="00A35CF5" w:rsidRPr="00A74402" w:rsidRDefault="00A35CF5" w:rsidP="00246558">
      <w:pPr>
        <w:autoSpaceDE w:val="0"/>
        <w:autoSpaceDN w:val="0"/>
        <w:adjustRightInd w:val="0"/>
        <w:rPr>
          <w:rFonts w:ascii="Times New Roman" w:hAnsi="Times New Roman" w:cs="Times New Roman"/>
          <w:sz w:val="24"/>
        </w:rPr>
      </w:pPr>
      <w:r w:rsidRPr="00A74402">
        <w:rPr>
          <w:rFonts w:ascii="Times New Roman" w:hAnsi="Times New Roman" w:cs="Times New Roman"/>
          <w:noProof/>
          <w:lang w:eastAsia="es-CL"/>
        </w:rPr>
        <w:drawing>
          <wp:inline distT="0" distB="0" distL="0" distR="0" wp14:anchorId="7D209706" wp14:editId="1ECAFD39">
            <wp:extent cx="5601975" cy="3787597"/>
            <wp:effectExtent l="0" t="0" r="11430" b="0"/>
            <wp:docPr id="25" name="Chart 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xmlns:mv="urn:schemas-microsoft-com:mac:vml" xmlns:mo="http://schemas.microsoft.com/office/mac/office/2008/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ACE5CC" w14:textId="74304579" w:rsidR="004F667C" w:rsidRPr="00A74402" w:rsidRDefault="004F667C" w:rsidP="004F667C">
      <w:pPr>
        <w:autoSpaceDE w:val="0"/>
        <w:autoSpaceDN w:val="0"/>
        <w:adjustRightInd w:val="0"/>
        <w:spacing w:line="240" w:lineRule="auto"/>
        <w:ind w:left="288"/>
        <w:jc w:val="left"/>
        <w:rPr>
          <w:rFonts w:ascii="Times New Roman" w:hAnsi="Times New Roman" w:cs="Times New Roman"/>
          <w:sz w:val="20"/>
          <w:szCs w:val="20"/>
          <w:lang w:val="es-ES_tradnl"/>
        </w:rPr>
      </w:pPr>
      <w:r w:rsidRPr="00A74402">
        <w:rPr>
          <w:rFonts w:ascii="Times New Roman" w:hAnsi="Times New Roman" w:cs="Times New Roman"/>
          <w:b/>
          <w:bCs/>
          <w:sz w:val="20"/>
          <w:szCs w:val="20"/>
          <w:lang w:val="es-ES_tradnl"/>
        </w:rPr>
        <w:t>Fuente:</w:t>
      </w:r>
      <w:r w:rsidRPr="00A74402">
        <w:rPr>
          <w:rFonts w:ascii="Times New Roman" w:hAnsi="Times New Roman" w:cs="Times New Roman"/>
          <w:bCs/>
          <w:sz w:val="20"/>
          <w:szCs w:val="20"/>
          <w:lang w:val="es-ES_tradnl"/>
        </w:rPr>
        <w:t xml:space="preserve"> FAO, Capturas Pesqueras </w:t>
      </w:r>
      <w:r w:rsidR="00271BBD" w:rsidRPr="00A74402">
        <w:rPr>
          <w:rFonts w:ascii="Times New Roman" w:hAnsi="Times New Roman" w:cs="Times New Roman"/>
          <w:bCs/>
          <w:sz w:val="20"/>
          <w:szCs w:val="20"/>
          <w:lang w:val="es-ES_tradnl"/>
        </w:rPr>
        <w:t xml:space="preserve">en </w:t>
      </w:r>
      <w:r w:rsidRPr="00A74402">
        <w:rPr>
          <w:rFonts w:ascii="Times New Roman" w:hAnsi="Times New Roman" w:cs="Times New Roman"/>
          <w:bCs/>
          <w:sz w:val="20"/>
          <w:szCs w:val="20"/>
          <w:lang w:val="es-ES_tradnl"/>
        </w:rPr>
        <w:t>Chile</w:t>
      </w:r>
      <w:r w:rsidR="00E30DC6" w:rsidRPr="00A74402">
        <w:rPr>
          <w:rFonts w:ascii="Times New Roman" w:hAnsi="Times New Roman" w:cs="Times New Roman"/>
          <w:bCs/>
          <w:sz w:val="20"/>
          <w:szCs w:val="20"/>
          <w:lang w:val="es-ES_tradnl"/>
        </w:rPr>
        <w:t>,</w:t>
      </w:r>
      <w:r w:rsidRPr="00A74402">
        <w:rPr>
          <w:rFonts w:ascii="Times New Roman" w:hAnsi="Times New Roman" w:cs="Times New Roman"/>
          <w:bCs/>
          <w:sz w:val="20"/>
          <w:szCs w:val="20"/>
          <w:lang w:val="es-ES_tradnl"/>
        </w:rPr>
        <w:t xml:space="preserve"> 1950-2016, http://www.fao.org/fishery/statistics/global-capture-production/query/es.</w:t>
      </w:r>
    </w:p>
    <w:p w14:paraId="04EF9BB6" w14:textId="2377703A" w:rsidR="00246558" w:rsidRPr="00A74402" w:rsidRDefault="00DE709E" w:rsidP="00EA5671">
      <w:pPr>
        <w:autoSpaceDE w:val="0"/>
        <w:autoSpaceDN w:val="0"/>
        <w:adjustRightInd w:val="0"/>
        <w:rPr>
          <w:rFonts w:ascii="Times New Roman" w:hAnsi="Times New Roman" w:cs="Times New Roman"/>
          <w:sz w:val="24"/>
        </w:rPr>
      </w:pPr>
      <w:r w:rsidRPr="00A74402">
        <w:rPr>
          <w:rFonts w:ascii="Times New Roman" w:hAnsi="Times New Roman" w:cs="Times New Roman"/>
          <w:sz w:val="24"/>
        </w:rPr>
        <w:t xml:space="preserve"> </w:t>
      </w:r>
      <w:r w:rsidR="004F667C" w:rsidRPr="00A74402">
        <w:rPr>
          <w:rFonts w:ascii="Times New Roman" w:hAnsi="Times New Roman" w:cs="Times New Roman"/>
          <w:noProof/>
          <w:lang w:eastAsia="es-CL"/>
        </w:rPr>
        <w:drawing>
          <wp:inline distT="0" distB="0" distL="0" distR="0" wp14:anchorId="381933F1" wp14:editId="6C613FE8">
            <wp:extent cx="5339608" cy="3343617"/>
            <wp:effectExtent l="0" t="0" r="0" b="9525"/>
            <wp:docPr id="26" name="Chart 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xmlns:mv="urn:schemas-microsoft-com:mac:vml" xmlns:mo="http://schemas.microsoft.com/office/mac/office/2008/main" id="{00000000-0008-0000-0C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7F8D250" w14:textId="7E84B57F" w:rsidR="00246558" w:rsidRPr="00A74402" w:rsidRDefault="004F667C" w:rsidP="00681893">
      <w:pPr>
        <w:autoSpaceDE w:val="0"/>
        <w:autoSpaceDN w:val="0"/>
        <w:adjustRightInd w:val="0"/>
        <w:spacing w:line="240" w:lineRule="auto"/>
        <w:ind w:left="288"/>
        <w:jc w:val="left"/>
        <w:rPr>
          <w:rFonts w:ascii="Times New Roman" w:hAnsi="Times New Roman" w:cs="Times New Roman"/>
          <w:sz w:val="20"/>
          <w:szCs w:val="20"/>
        </w:rPr>
      </w:pPr>
      <w:r w:rsidRPr="00A74402">
        <w:rPr>
          <w:rFonts w:ascii="Times New Roman" w:hAnsi="Times New Roman" w:cs="Times New Roman"/>
          <w:b/>
          <w:sz w:val="20"/>
          <w:szCs w:val="20"/>
        </w:rPr>
        <w:t>Fuente:</w:t>
      </w:r>
      <w:r w:rsidRPr="00A74402">
        <w:rPr>
          <w:rFonts w:ascii="Times New Roman" w:hAnsi="Times New Roman" w:cs="Times New Roman"/>
          <w:sz w:val="20"/>
          <w:szCs w:val="20"/>
        </w:rPr>
        <w:t xml:space="preserve"> FAO, Producción Acuícola Chile 1950-2016, http://www.fao.org/fishery/statistics/global-aquaculture-production/es.</w:t>
      </w:r>
    </w:p>
    <w:p w14:paraId="027C921F" w14:textId="1F04DB85" w:rsidR="003D370E" w:rsidRPr="00A74402" w:rsidRDefault="003D370E" w:rsidP="00246558">
      <w:pPr>
        <w:rPr>
          <w:rFonts w:ascii="Times New Roman" w:hAnsi="Times New Roman" w:cs="Times New Roman"/>
        </w:rPr>
      </w:pPr>
      <w:r w:rsidRPr="00A74402">
        <w:rPr>
          <w:rFonts w:ascii="Times New Roman" w:hAnsi="Times New Roman" w:cs="Times New Roman"/>
          <w:noProof/>
          <w:lang w:eastAsia="es-CL"/>
        </w:rPr>
        <w:drawing>
          <wp:inline distT="0" distB="0" distL="0" distR="0" wp14:anchorId="1866391D" wp14:editId="0DD9C970">
            <wp:extent cx="5605145" cy="4127388"/>
            <wp:effectExtent l="0" t="0" r="8255" b="0"/>
            <wp:docPr id="4" name="Chart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a16="http://schemas.microsoft.com/office/drawing/2014/main" xmlns="" xmlns:xdr="http://schemas.openxmlformats.org/drawingml/2006/spreadsheetDrawing" xmlns:arto="http://schemas.microsoft.com/office/word/2006/arto" xmlns:mv="urn:schemas-microsoft-com:mac:vml" xmlns:mo="http://schemas.microsoft.com/office/mac/office/2008/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94B005C" w14:textId="76B6342C" w:rsidR="001763B5" w:rsidRPr="00A74402" w:rsidRDefault="00B54124" w:rsidP="008F7346">
      <w:pPr>
        <w:ind w:left="576"/>
        <w:rPr>
          <w:rFonts w:ascii="Times New Roman" w:hAnsi="Times New Roman" w:cs="Times New Roman"/>
          <w:sz w:val="20"/>
          <w:szCs w:val="20"/>
          <w:lang w:val="en-US"/>
        </w:rPr>
      </w:pPr>
      <w:r w:rsidRPr="00A74402">
        <w:rPr>
          <w:rFonts w:ascii="Times New Roman" w:hAnsi="Times New Roman" w:cs="Times New Roman"/>
          <w:b/>
          <w:sz w:val="20"/>
          <w:szCs w:val="20"/>
          <w:lang w:val="en-US"/>
        </w:rPr>
        <w:t>Fuentes:</w:t>
      </w:r>
      <w:r w:rsidRPr="00A74402">
        <w:rPr>
          <w:rFonts w:ascii="Times New Roman" w:hAnsi="Times New Roman" w:cs="Times New Roman"/>
          <w:sz w:val="20"/>
          <w:szCs w:val="20"/>
          <w:lang w:val="en-US"/>
        </w:rPr>
        <w:t xml:space="preserve"> C</w:t>
      </w:r>
      <w:r w:rsidR="00ED25F4" w:rsidRPr="00A74402">
        <w:rPr>
          <w:rFonts w:ascii="Times New Roman" w:hAnsi="Times New Roman" w:cs="Times New Roman"/>
          <w:sz w:val="20"/>
          <w:szCs w:val="20"/>
          <w:lang w:val="en-US"/>
        </w:rPr>
        <w:t>OCHILCO</w:t>
      </w:r>
      <w:r w:rsidRPr="00A74402">
        <w:rPr>
          <w:rFonts w:ascii="Times New Roman" w:hAnsi="Times New Roman" w:cs="Times New Roman"/>
          <w:sz w:val="20"/>
          <w:szCs w:val="20"/>
          <w:lang w:val="en-US"/>
        </w:rPr>
        <w:t xml:space="preserve">, FAO, ODEPA. </w:t>
      </w:r>
    </w:p>
    <w:p w14:paraId="63464E18" w14:textId="76A605A2" w:rsidR="001763B5" w:rsidRPr="00A74402" w:rsidRDefault="008F7346" w:rsidP="00B54124">
      <w:pPr>
        <w:rPr>
          <w:rFonts w:ascii="Times New Roman" w:hAnsi="Times New Roman" w:cs="Times New Roman"/>
          <w:sz w:val="20"/>
          <w:szCs w:val="20"/>
          <w:lang w:val="en-US"/>
        </w:rPr>
      </w:pPr>
      <w:r w:rsidRPr="00A74402">
        <w:rPr>
          <w:rFonts w:ascii="Times New Roman" w:hAnsi="Times New Roman" w:cs="Times New Roman"/>
          <w:noProof/>
          <w:lang w:eastAsia="es-CL"/>
        </w:rPr>
        <w:drawing>
          <wp:inline distT="0" distB="0" distL="0" distR="0" wp14:anchorId="5A3301E0" wp14:editId="4F5A953C">
            <wp:extent cx="5491361" cy="3555888"/>
            <wp:effectExtent l="0" t="0" r="0" b="635"/>
            <wp:docPr id="7" name="Chart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206AB9C" w14:textId="680B3A76" w:rsidR="001763B5" w:rsidRPr="00A74402" w:rsidRDefault="0009720A" w:rsidP="00385281">
      <w:pPr>
        <w:spacing w:line="240" w:lineRule="auto"/>
        <w:ind w:left="576"/>
        <w:rPr>
          <w:rFonts w:ascii="Times New Roman" w:hAnsi="Times New Roman" w:cs="Times New Roman"/>
          <w:sz w:val="20"/>
          <w:szCs w:val="20"/>
          <w:lang w:val="es-ES_tradnl"/>
        </w:rPr>
      </w:pPr>
      <w:r w:rsidRPr="00A74402">
        <w:rPr>
          <w:rFonts w:ascii="Times New Roman" w:hAnsi="Times New Roman" w:cs="Times New Roman"/>
          <w:b/>
          <w:sz w:val="20"/>
          <w:szCs w:val="20"/>
          <w:lang w:val="es-ES_tradnl"/>
        </w:rPr>
        <w:t>Fuente:</w:t>
      </w:r>
      <w:r w:rsidRPr="00A74402">
        <w:rPr>
          <w:rFonts w:ascii="Times New Roman" w:hAnsi="Times New Roman" w:cs="Times New Roman"/>
          <w:sz w:val="20"/>
          <w:szCs w:val="20"/>
          <w:lang w:val="es-ES_tradnl"/>
        </w:rPr>
        <w:t xml:space="preserve"> MOP (2017)</w:t>
      </w:r>
      <w:r w:rsidR="00EB7E8E" w:rsidRPr="00A74402">
        <w:rPr>
          <w:rFonts w:ascii="Times New Roman" w:hAnsi="Times New Roman" w:cs="Times New Roman"/>
          <w:sz w:val="20"/>
          <w:szCs w:val="20"/>
          <w:lang w:val="es-ES_tradnl"/>
        </w:rPr>
        <w:t>.</w:t>
      </w:r>
    </w:p>
    <w:sectPr w:rsidR="001763B5" w:rsidRPr="00A74402" w:rsidSect="00222286">
      <w:footerReference w:type="default" r:id="rId2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866F5" w14:textId="77777777" w:rsidR="005C79C2" w:rsidRDefault="005C79C2" w:rsidP="00F11219">
      <w:pPr>
        <w:spacing w:line="240" w:lineRule="auto"/>
      </w:pPr>
      <w:r>
        <w:separator/>
      </w:r>
    </w:p>
  </w:endnote>
  <w:endnote w:type="continuationSeparator" w:id="0">
    <w:p w14:paraId="52EAA280" w14:textId="77777777" w:rsidR="005C79C2" w:rsidRDefault="005C79C2" w:rsidP="00F11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53926"/>
      <w:docPartObj>
        <w:docPartGallery w:val="Page Numbers (Bottom of Page)"/>
        <w:docPartUnique/>
      </w:docPartObj>
    </w:sdtPr>
    <w:sdtEndPr/>
    <w:sdtContent>
      <w:p w14:paraId="5AE09378" w14:textId="291DD252" w:rsidR="00931A70" w:rsidRDefault="00931A70">
        <w:pPr>
          <w:pStyle w:val="Piedepgina"/>
          <w:jc w:val="right"/>
        </w:pPr>
        <w:r>
          <w:fldChar w:fldCharType="begin"/>
        </w:r>
        <w:r>
          <w:instrText>PAGE   \* MERGEFORMAT</w:instrText>
        </w:r>
        <w:r>
          <w:fldChar w:fldCharType="separate"/>
        </w:r>
        <w:r w:rsidR="00052B38" w:rsidRPr="00052B38">
          <w:rPr>
            <w:noProof/>
            <w:lang w:val="es-ES"/>
          </w:rPr>
          <w:t>1</w:t>
        </w:r>
        <w:r>
          <w:fldChar w:fldCharType="end"/>
        </w:r>
      </w:p>
    </w:sdtContent>
  </w:sdt>
  <w:p w14:paraId="74864A71" w14:textId="77777777" w:rsidR="00931A70" w:rsidRDefault="00931A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8FA4" w14:textId="77777777" w:rsidR="005C79C2" w:rsidRDefault="005C79C2" w:rsidP="00F11219">
      <w:pPr>
        <w:spacing w:line="240" w:lineRule="auto"/>
      </w:pPr>
      <w:r>
        <w:separator/>
      </w:r>
    </w:p>
  </w:footnote>
  <w:footnote w:type="continuationSeparator" w:id="0">
    <w:p w14:paraId="69E38D18" w14:textId="77777777" w:rsidR="005C79C2" w:rsidRDefault="005C79C2" w:rsidP="00F11219">
      <w:pPr>
        <w:spacing w:line="240" w:lineRule="auto"/>
      </w:pPr>
      <w:r>
        <w:continuationSeparator/>
      </w:r>
    </w:p>
  </w:footnote>
  <w:footnote w:id="1">
    <w:p w14:paraId="7DCA5D05" w14:textId="76F70959" w:rsidR="00931A70" w:rsidRPr="00241693" w:rsidRDefault="00931A70">
      <w:pPr>
        <w:pStyle w:val="Textonotapie"/>
        <w:rPr>
          <w:lang w:val="es-CL"/>
        </w:rPr>
      </w:pPr>
      <w:r w:rsidRPr="0040145A">
        <w:rPr>
          <w:rStyle w:val="Refdenotaalpie"/>
          <w:sz w:val="24"/>
          <w:lang w:val="es-CL"/>
        </w:rPr>
        <w:t>*</w:t>
      </w:r>
      <w:r w:rsidRPr="00241693">
        <w:rPr>
          <w:lang w:val="es-CL"/>
        </w:rPr>
        <w:t xml:space="preserve"> </w:t>
      </w:r>
      <w:r>
        <w:rPr>
          <w:lang w:val="es-CL"/>
        </w:rPr>
        <w:t xml:space="preserve"> Publicado en </w:t>
      </w:r>
      <w:r w:rsidRPr="0040145A">
        <w:rPr>
          <w:i/>
          <w:lang w:val="es-CL"/>
        </w:rPr>
        <w:t>Revista CEPAL</w:t>
      </w:r>
      <w:r>
        <w:rPr>
          <w:lang w:val="es-CL"/>
        </w:rPr>
        <w:t xml:space="preserve">, No 127, abril de 2019. Versión en inglés en </w:t>
      </w:r>
      <w:r w:rsidRPr="00A94239">
        <w:rPr>
          <w:i/>
          <w:lang w:val="es-CL"/>
        </w:rPr>
        <w:t>CEPAL Review</w:t>
      </w:r>
      <w:r>
        <w:rPr>
          <w:lang w:val="es-CL"/>
        </w:rPr>
        <w:t xml:space="preserve"> 127, en impresión.</w:t>
      </w:r>
    </w:p>
  </w:footnote>
  <w:footnote w:id="2">
    <w:p w14:paraId="4FE27F58" w14:textId="3F3C2B62" w:rsidR="00931A70" w:rsidRPr="00241693" w:rsidRDefault="00931A70" w:rsidP="0040145A">
      <w:pPr>
        <w:pStyle w:val="Textonotapie"/>
        <w:rPr>
          <w:lang w:val="es-CL"/>
        </w:rPr>
      </w:pPr>
      <w:r w:rsidRPr="0040145A">
        <w:rPr>
          <w:rStyle w:val="Refdenotaalpie"/>
          <w:sz w:val="24"/>
          <w:lang w:val="es-CL"/>
        </w:rPr>
        <w:t>**</w:t>
      </w:r>
      <w:r>
        <w:rPr>
          <w:lang w:val="es-CL"/>
        </w:rPr>
        <w:t>Agradecemos los comentarios de Daniel Titelman así como la cooperación de Andrea Costa y Claudio Aravena.</w:t>
      </w:r>
    </w:p>
    <w:p w14:paraId="2468200F" w14:textId="024C41D4" w:rsidR="00931A70" w:rsidRPr="0040145A" w:rsidRDefault="00931A70">
      <w:pPr>
        <w:pStyle w:val="Textonotapie"/>
        <w:rPr>
          <w:lang w:val="es-CL"/>
        </w:rPr>
      </w:pPr>
    </w:p>
  </w:footnote>
  <w:footnote w:id="3">
    <w:p w14:paraId="2E56D5D8" w14:textId="77777777" w:rsidR="00931A70" w:rsidRPr="00FA561A" w:rsidRDefault="00931A70" w:rsidP="0040070D">
      <w:pPr>
        <w:pStyle w:val="Textonotapie"/>
        <w:rPr>
          <w:rFonts w:asciiTheme="minorHAnsi" w:hAnsiTheme="minorHAnsi" w:cstheme="minorHAnsi"/>
          <w:lang w:val="es-ES"/>
        </w:rPr>
      </w:pPr>
      <w:r>
        <w:rPr>
          <w:rStyle w:val="Refdenotaalpie"/>
        </w:rPr>
        <w:footnoteRef/>
      </w:r>
      <w:r>
        <w:rPr>
          <w:lang w:val="es-ES"/>
        </w:rPr>
        <w:t xml:space="preserve">/ </w:t>
      </w:r>
      <w:r w:rsidRPr="00FA561A">
        <w:rPr>
          <w:rFonts w:asciiTheme="minorHAnsi" w:hAnsiTheme="minorHAnsi" w:cstheme="minorHAnsi"/>
          <w:lang w:val="es-ES"/>
        </w:rPr>
        <w:t>Desde el modelo Solow-Swan (1956), la literatura del crecimiento ha abandonado los supuestos de retornos</w:t>
      </w:r>
      <w:r>
        <w:rPr>
          <w:rFonts w:asciiTheme="minorHAnsi" w:hAnsiTheme="minorHAnsi" w:cstheme="minorHAnsi"/>
          <w:lang w:val="es-ES"/>
        </w:rPr>
        <w:t xml:space="preserve"> de</w:t>
      </w:r>
      <w:r w:rsidRPr="00FA561A">
        <w:rPr>
          <w:rFonts w:asciiTheme="minorHAnsi" w:hAnsiTheme="minorHAnsi" w:cstheme="minorHAnsi"/>
          <w:lang w:val="es-ES"/>
        </w:rPr>
        <w:t xml:space="preserve"> escala constantes, progreso técnico exógeno y firma representativa, </w:t>
      </w:r>
      <w:r>
        <w:rPr>
          <w:rFonts w:asciiTheme="minorHAnsi" w:hAnsiTheme="minorHAnsi" w:cstheme="minorHAnsi"/>
          <w:lang w:val="es-ES"/>
        </w:rPr>
        <w:t xml:space="preserve">y ha </w:t>
      </w:r>
      <w:r w:rsidRPr="00FA561A">
        <w:rPr>
          <w:rFonts w:asciiTheme="minorHAnsi" w:hAnsiTheme="minorHAnsi" w:cstheme="minorHAnsi"/>
          <w:lang w:val="es-ES"/>
        </w:rPr>
        <w:t>incorporado</w:t>
      </w:r>
      <w:r>
        <w:rPr>
          <w:rFonts w:asciiTheme="minorHAnsi" w:hAnsiTheme="minorHAnsi" w:cstheme="minorHAnsi"/>
          <w:lang w:val="es-ES"/>
        </w:rPr>
        <w:t>, por ejemplo,</w:t>
      </w:r>
      <w:r w:rsidRPr="00FA561A">
        <w:rPr>
          <w:rFonts w:asciiTheme="minorHAnsi" w:hAnsiTheme="minorHAnsi" w:cstheme="minorHAnsi"/>
          <w:lang w:val="es-ES"/>
        </w:rPr>
        <w:t xml:space="preserve"> creación y destrucción de empresas, competencia imperfecta, </w:t>
      </w:r>
      <w:r>
        <w:rPr>
          <w:rFonts w:asciiTheme="minorHAnsi" w:hAnsiTheme="minorHAnsi" w:cstheme="minorHAnsi"/>
          <w:lang w:val="es-ES"/>
        </w:rPr>
        <w:t>difusión tecnológica,</w:t>
      </w:r>
      <w:r w:rsidRPr="00FA561A">
        <w:rPr>
          <w:rFonts w:asciiTheme="minorHAnsi" w:hAnsiTheme="minorHAnsi" w:cstheme="minorHAnsi"/>
          <w:lang w:val="es-ES"/>
        </w:rPr>
        <w:t xml:space="preserve"> recursos naturales y la contaminación. Sin embargo, hay escasos estudios que incorpor</w:t>
      </w:r>
      <w:r>
        <w:rPr>
          <w:rFonts w:asciiTheme="minorHAnsi" w:hAnsiTheme="minorHAnsi" w:cstheme="minorHAnsi"/>
          <w:lang w:val="es-ES"/>
        </w:rPr>
        <w:t>e</w:t>
      </w:r>
      <w:r w:rsidRPr="00FA561A">
        <w:rPr>
          <w:rFonts w:asciiTheme="minorHAnsi" w:hAnsiTheme="minorHAnsi" w:cstheme="minorHAnsi"/>
          <w:lang w:val="es-ES"/>
        </w:rPr>
        <w:t>n estos factores para el caso chileno.</w:t>
      </w:r>
    </w:p>
  </w:footnote>
  <w:footnote w:id="4">
    <w:p w14:paraId="54569735" w14:textId="77777777" w:rsidR="00931A70" w:rsidRPr="00FA561A" w:rsidRDefault="00931A70" w:rsidP="0040070D">
      <w:pPr>
        <w:pStyle w:val="Textonotapie"/>
        <w:rPr>
          <w:lang w:val="es-CL"/>
        </w:rPr>
      </w:pPr>
      <w:r w:rsidRPr="00FA561A">
        <w:rPr>
          <w:rStyle w:val="Refdenotaalpie"/>
          <w:rFonts w:asciiTheme="minorHAnsi" w:hAnsiTheme="minorHAnsi" w:cstheme="minorHAnsi"/>
        </w:rPr>
        <w:footnoteRef/>
      </w:r>
      <w:r w:rsidRPr="00FA561A">
        <w:rPr>
          <w:rFonts w:asciiTheme="minorHAnsi" w:hAnsiTheme="minorHAnsi" w:cstheme="minorHAnsi"/>
          <w:lang w:val="es-CL"/>
        </w:rPr>
        <w:t xml:space="preserve">/ A los problemas antes señalados, se agrega la heterogeneidad estructural entre PYMES y grandes empresas, que tendió a incrementarse desde los años setenta pero cuya potencial reducción constituye una fuente importante de aumento de la productividad. Y no menos importante </w:t>
      </w:r>
      <w:r w:rsidRPr="00AB669D">
        <w:rPr>
          <w:rFonts w:asciiTheme="minorHAnsi" w:hAnsiTheme="minorHAnsi" w:cstheme="minorHAnsi"/>
          <w:lang w:val="es-CL"/>
        </w:rPr>
        <w:t xml:space="preserve">debe considerarse </w:t>
      </w:r>
      <w:r w:rsidRPr="00FA561A">
        <w:rPr>
          <w:rFonts w:asciiTheme="minorHAnsi" w:hAnsiTheme="minorHAnsi" w:cstheme="minorHAnsi"/>
          <w:lang w:val="es-CL"/>
        </w:rPr>
        <w:t xml:space="preserve">el potencial impacto de los cambios institucionales y regulatorios sobre la dinámica de la productividad. </w:t>
      </w:r>
    </w:p>
  </w:footnote>
  <w:footnote w:id="5">
    <w:p w14:paraId="57682C77" w14:textId="77777777" w:rsidR="00931A70" w:rsidRPr="00685E4A" w:rsidRDefault="00931A70" w:rsidP="0040070D">
      <w:pPr>
        <w:pStyle w:val="Textonotapie"/>
        <w:rPr>
          <w:rFonts w:asciiTheme="minorHAnsi" w:hAnsiTheme="minorHAnsi"/>
          <w:lang w:val="es-CL"/>
        </w:rPr>
      </w:pPr>
      <w:r w:rsidRPr="00685E4A">
        <w:rPr>
          <w:rStyle w:val="Refdenotaalpie"/>
          <w:rFonts w:asciiTheme="minorHAnsi" w:hAnsiTheme="minorHAnsi"/>
        </w:rPr>
        <w:footnoteRef/>
      </w:r>
      <w:r w:rsidRPr="00685E4A">
        <w:rPr>
          <w:rFonts w:asciiTheme="minorHAnsi" w:hAnsiTheme="minorHAnsi"/>
          <w:lang w:val="es-CL"/>
        </w:rPr>
        <w:t xml:space="preserve">/ Las reformas de la dictadura y </w:t>
      </w:r>
      <w:r>
        <w:rPr>
          <w:rFonts w:asciiTheme="minorHAnsi" w:hAnsiTheme="minorHAnsi"/>
          <w:lang w:val="es-CL"/>
        </w:rPr>
        <w:t>los</w:t>
      </w:r>
      <w:r w:rsidRPr="00685E4A">
        <w:rPr>
          <w:rFonts w:asciiTheme="minorHAnsi" w:hAnsiTheme="minorHAnsi"/>
          <w:lang w:val="es-CL"/>
        </w:rPr>
        <w:t xml:space="preserve"> cambios</w:t>
      </w:r>
      <w:r>
        <w:rPr>
          <w:rFonts w:asciiTheme="minorHAnsi" w:hAnsiTheme="minorHAnsi"/>
          <w:lang w:val="es-CL"/>
        </w:rPr>
        <w:t xml:space="preserve"> registrados en las políticas económicas</w:t>
      </w:r>
      <w:r w:rsidRPr="00685E4A">
        <w:rPr>
          <w:rFonts w:asciiTheme="minorHAnsi" w:hAnsiTheme="minorHAnsi"/>
          <w:lang w:val="es-CL"/>
        </w:rPr>
        <w:t xml:space="preserve"> en democracia, así como sus consecuencias, son examinadas en Ffrench-Davis (201</w:t>
      </w:r>
      <w:r>
        <w:rPr>
          <w:rFonts w:asciiTheme="minorHAnsi" w:hAnsiTheme="minorHAnsi"/>
          <w:lang w:val="es-CL"/>
        </w:rPr>
        <w:t>8</w:t>
      </w:r>
      <w:r w:rsidRPr="00685E4A">
        <w:rPr>
          <w:rFonts w:asciiTheme="minorHAnsi" w:hAnsiTheme="minorHAnsi"/>
          <w:lang w:val="es-CL"/>
        </w:rPr>
        <w:t>).</w:t>
      </w:r>
    </w:p>
  </w:footnote>
  <w:footnote w:id="6">
    <w:p w14:paraId="527EB2DC" w14:textId="621986EF" w:rsidR="00931A70" w:rsidRPr="00685E4A" w:rsidRDefault="00931A70" w:rsidP="0040070D">
      <w:pPr>
        <w:pStyle w:val="Textonotapie"/>
        <w:rPr>
          <w:rFonts w:asciiTheme="minorHAnsi" w:hAnsiTheme="minorHAnsi"/>
          <w:lang w:val="es-CL"/>
        </w:rPr>
      </w:pPr>
      <w:r w:rsidRPr="00685E4A">
        <w:rPr>
          <w:rStyle w:val="Refdenotaalpie"/>
          <w:rFonts w:asciiTheme="minorHAnsi" w:hAnsiTheme="minorHAnsi"/>
        </w:rPr>
        <w:footnoteRef/>
      </w:r>
      <w:r w:rsidRPr="00685E4A">
        <w:rPr>
          <w:rFonts w:asciiTheme="minorHAnsi" w:hAnsiTheme="minorHAnsi"/>
          <w:lang w:val="es-CL"/>
        </w:rPr>
        <w:t xml:space="preserve">/ </w:t>
      </w:r>
      <w:r>
        <w:rPr>
          <w:rFonts w:asciiTheme="minorHAnsi" w:hAnsiTheme="minorHAnsi"/>
          <w:lang w:val="es-CL"/>
        </w:rPr>
        <w:t>Los cambios metodológicos han determinado importantes modificaciones en las series históricas del producto y sus variables relacionadas. En las nuevas cuentas nacionales encadenadas de referencia 2008</w:t>
      </w:r>
      <w:r w:rsidRPr="00685E4A">
        <w:rPr>
          <w:rFonts w:asciiTheme="minorHAnsi" w:hAnsiTheme="minorHAnsi"/>
          <w:lang w:val="es-CL"/>
        </w:rPr>
        <w:t>, el Banco Central incluyó productos como la exploración minera y el software</w:t>
      </w:r>
      <w:r w:rsidRPr="00685E4A">
        <w:rPr>
          <w:rFonts w:asciiTheme="minorHAnsi" w:hAnsiTheme="minorHAnsi"/>
          <w:color w:val="000000"/>
          <w:lang w:val="es-CL"/>
        </w:rPr>
        <w:t xml:space="preserve">. </w:t>
      </w:r>
      <w:r>
        <w:rPr>
          <w:rFonts w:asciiTheme="minorHAnsi" w:hAnsiTheme="minorHAnsi"/>
          <w:color w:val="000000"/>
          <w:lang w:val="es-CL"/>
        </w:rPr>
        <w:t xml:space="preserve">Ello generó un incremento de 5,6% de la FBKF en moneda corriente respecto a la cifra que, para el mismo año, entregaba la anterior serie de cuentas nacionales (base 2003). Posteriormente, hubo nuevos </w:t>
      </w:r>
      <w:r w:rsidRPr="00685E4A">
        <w:rPr>
          <w:rFonts w:asciiTheme="minorHAnsi" w:hAnsiTheme="minorHAnsi"/>
          <w:color w:val="000000"/>
          <w:lang w:val="es-CL"/>
        </w:rPr>
        <w:t xml:space="preserve">ajustes de las cuentas nacionales encadenadas </w:t>
      </w:r>
      <w:r>
        <w:rPr>
          <w:rFonts w:asciiTheme="minorHAnsi" w:hAnsiTheme="minorHAnsi"/>
          <w:color w:val="000000"/>
          <w:lang w:val="es-CL"/>
        </w:rPr>
        <w:t>(</w:t>
      </w:r>
      <w:r w:rsidRPr="00685E4A">
        <w:rPr>
          <w:rFonts w:asciiTheme="minorHAnsi" w:hAnsiTheme="minorHAnsi"/>
          <w:color w:val="000000"/>
          <w:lang w:val="es-CL"/>
        </w:rPr>
        <w:t>de referencia de 20</w:t>
      </w:r>
      <w:r>
        <w:rPr>
          <w:rFonts w:asciiTheme="minorHAnsi" w:hAnsiTheme="minorHAnsi"/>
          <w:color w:val="000000"/>
          <w:lang w:val="es-CL"/>
        </w:rPr>
        <w:t>13), tales como reparaciones de maquinarias, principalmente mineras. Ello determinó que,</w:t>
      </w:r>
      <w:r w:rsidRPr="00685E4A">
        <w:rPr>
          <w:rFonts w:asciiTheme="minorHAnsi" w:hAnsiTheme="minorHAnsi"/>
          <w:color w:val="000000"/>
          <w:lang w:val="es-CL"/>
        </w:rPr>
        <w:t xml:space="preserve"> para </w:t>
      </w:r>
      <w:r>
        <w:rPr>
          <w:rFonts w:asciiTheme="minorHAnsi" w:hAnsiTheme="minorHAnsi"/>
          <w:color w:val="000000"/>
          <w:lang w:val="es-CL"/>
        </w:rPr>
        <w:t xml:space="preserve">el </w:t>
      </w:r>
      <w:r w:rsidRPr="00685E4A">
        <w:rPr>
          <w:rFonts w:asciiTheme="minorHAnsi" w:hAnsiTheme="minorHAnsi"/>
          <w:color w:val="000000"/>
          <w:lang w:val="es-CL"/>
        </w:rPr>
        <w:t>año</w:t>
      </w:r>
      <w:r>
        <w:rPr>
          <w:rFonts w:asciiTheme="minorHAnsi" w:hAnsiTheme="minorHAnsi"/>
          <w:color w:val="000000"/>
          <w:lang w:val="es-CL"/>
        </w:rPr>
        <w:t xml:space="preserve"> 2013,</w:t>
      </w:r>
      <w:r w:rsidRPr="00685E4A">
        <w:rPr>
          <w:rFonts w:asciiTheme="minorHAnsi" w:hAnsiTheme="minorHAnsi"/>
          <w:color w:val="000000"/>
          <w:lang w:val="es-CL"/>
        </w:rPr>
        <w:t xml:space="preserve"> la FBKF en pesos corrientes se increment</w:t>
      </w:r>
      <w:r>
        <w:rPr>
          <w:rFonts w:asciiTheme="minorHAnsi" w:hAnsiTheme="minorHAnsi"/>
          <w:color w:val="000000"/>
          <w:lang w:val="es-CL"/>
        </w:rPr>
        <w:t>ase</w:t>
      </w:r>
      <w:r w:rsidRPr="00685E4A">
        <w:rPr>
          <w:rFonts w:asciiTheme="minorHAnsi" w:hAnsiTheme="minorHAnsi"/>
          <w:color w:val="000000"/>
          <w:lang w:val="es-CL"/>
        </w:rPr>
        <w:t xml:space="preserve"> </w:t>
      </w:r>
      <w:r>
        <w:rPr>
          <w:rFonts w:asciiTheme="minorHAnsi" w:hAnsiTheme="minorHAnsi"/>
          <w:color w:val="000000"/>
          <w:lang w:val="es-CL"/>
        </w:rPr>
        <w:t>4</w:t>
      </w:r>
      <w:r w:rsidRPr="00685E4A">
        <w:rPr>
          <w:rFonts w:asciiTheme="minorHAnsi" w:hAnsiTheme="minorHAnsi"/>
          <w:color w:val="000000"/>
          <w:lang w:val="es-CL"/>
        </w:rPr>
        <w:t xml:space="preserve">,6% respecto a la </w:t>
      </w:r>
      <w:r>
        <w:rPr>
          <w:rFonts w:asciiTheme="minorHAnsi" w:hAnsiTheme="minorHAnsi"/>
          <w:color w:val="000000"/>
          <w:lang w:val="es-CL"/>
        </w:rPr>
        <w:t xml:space="preserve">cifra </w:t>
      </w:r>
      <w:r w:rsidRPr="00685E4A">
        <w:rPr>
          <w:rFonts w:asciiTheme="minorHAnsi" w:hAnsiTheme="minorHAnsi"/>
          <w:color w:val="000000"/>
          <w:lang w:val="es-CL"/>
        </w:rPr>
        <w:t xml:space="preserve">que mostraba </w:t>
      </w:r>
      <w:r>
        <w:rPr>
          <w:rFonts w:asciiTheme="minorHAnsi" w:hAnsiTheme="minorHAnsi"/>
          <w:color w:val="000000"/>
          <w:lang w:val="es-CL"/>
        </w:rPr>
        <w:t xml:space="preserve">la </w:t>
      </w:r>
      <w:r w:rsidRPr="00685E4A">
        <w:rPr>
          <w:rFonts w:asciiTheme="minorHAnsi" w:hAnsiTheme="minorHAnsi"/>
          <w:color w:val="000000"/>
          <w:lang w:val="es-CL"/>
        </w:rPr>
        <w:t xml:space="preserve">serie de </w:t>
      </w:r>
      <w:r>
        <w:rPr>
          <w:rFonts w:asciiTheme="minorHAnsi" w:hAnsiTheme="minorHAnsi"/>
          <w:color w:val="000000"/>
          <w:lang w:val="es-CL"/>
        </w:rPr>
        <w:t>referencia</w:t>
      </w:r>
      <w:r w:rsidRPr="00685E4A">
        <w:rPr>
          <w:rFonts w:asciiTheme="minorHAnsi" w:hAnsiTheme="minorHAnsi"/>
          <w:color w:val="000000"/>
          <w:lang w:val="es-CL"/>
        </w:rPr>
        <w:t xml:space="preserve"> 200</w:t>
      </w:r>
      <w:r>
        <w:rPr>
          <w:rFonts w:asciiTheme="minorHAnsi" w:hAnsiTheme="minorHAnsi"/>
          <w:color w:val="000000"/>
          <w:lang w:val="es-CL"/>
        </w:rPr>
        <w:t xml:space="preserve">8 </w:t>
      </w:r>
      <w:r w:rsidRPr="00685E4A">
        <w:rPr>
          <w:rFonts w:asciiTheme="minorHAnsi" w:hAnsiTheme="minorHAnsi"/>
          <w:color w:val="000000"/>
          <w:lang w:val="es-CL"/>
        </w:rPr>
        <w:t xml:space="preserve">para </w:t>
      </w:r>
      <w:r>
        <w:rPr>
          <w:rFonts w:asciiTheme="minorHAnsi" w:hAnsiTheme="minorHAnsi"/>
          <w:color w:val="000000"/>
          <w:lang w:val="es-CL"/>
        </w:rPr>
        <w:t xml:space="preserve">ei </w:t>
      </w:r>
      <w:r w:rsidRPr="00685E4A">
        <w:rPr>
          <w:rFonts w:asciiTheme="minorHAnsi" w:hAnsiTheme="minorHAnsi"/>
          <w:color w:val="000000"/>
          <w:lang w:val="es-CL"/>
        </w:rPr>
        <w:t>20</w:t>
      </w:r>
      <w:r>
        <w:rPr>
          <w:rFonts w:asciiTheme="minorHAnsi" w:hAnsiTheme="minorHAnsi"/>
          <w:color w:val="000000"/>
          <w:lang w:val="es-CL"/>
        </w:rPr>
        <w:t xml:space="preserve">13. Con todo, la acumulación de cambios genera diferencias apreciables; por ejemplo, en 1981-85, la serie base 2013 en pesos corrientes muestra una cifra 13% mayor que en la serie 1977 (base vigente en esos años). </w:t>
      </w:r>
    </w:p>
  </w:footnote>
  <w:footnote w:id="7">
    <w:p w14:paraId="61A095C2" w14:textId="1CC3EDA6" w:rsidR="00931A70" w:rsidRPr="00F03E11" w:rsidRDefault="00931A70" w:rsidP="0040070D">
      <w:pPr>
        <w:pStyle w:val="Textonotapie"/>
        <w:rPr>
          <w:lang w:val="es-CL"/>
        </w:rPr>
      </w:pPr>
      <w:r>
        <w:rPr>
          <w:rStyle w:val="Refdenotaalpie"/>
        </w:rPr>
        <w:footnoteRef/>
      </w:r>
      <w:r>
        <w:rPr>
          <w:lang w:val="es-CL"/>
        </w:rPr>
        <w:t>/</w:t>
      </w:r>
      <w:r w:rsidRPr="007A2D94">
        <w:rPr>
          <w:lang w:val="es-CL"/>
        </w:rPr>
        <w:t xml:space="preserve"> </w:t>
      </w:r>
      <w:r>
        <w:rPr>
          <w:lang w:val="es-CL"/>
        </w:rPr>
        <w:t xml:space="preserve">Más allá de esta complejidad, el cambio de cuentas nacionales de series con año base en precios constantes a series encadenadas, genera un conjunto de dificultades metodológicas. Tanto es así que FMI, el BM y la CEPAL todavía trabajan con series con año base. </w:t>
      </w:r>
    </w:p>
  </w:footnote>
  <w:footnote w:id="8">
    <w:p w14:paraId="689E2CA2" w14:textId="13349177" w:rsidR="00931A70" w:rsidRPr="00297B5D" w:rsidRDefault="00931A70" w:rsidP="0040070D">
      <w:pPr>
        <w:pStyle w:val="Textonotapie"/>
        <w:rPr>
          <w:lang w:val="es-CL"/>
        </w:rPr>
      </w:pPr>
      <w:r>
        <w:rPr>
          <w:rStyle w:val="Refdenotaalpie"/>
        </w:rPr>
        <w:footnoteRef/>
      </w:r>
      <w:r>
        <w:rPr>
          <w:lang w:val="es-CL"/>
        </w:rPr>
        <w:t>/</w:t>
      </w:r>
      <w:r w:rsidRPr="00297B5D">
        <w:rPr>
          <w:lang w:val="es-CL"/>
        </w:rPr>
        <w:t xml:space="preserve"> </w:t>
      </w:r>
      <w:r>
        <w:rPr>
          <w:lang w:val="es-CL"/>
        </w:rPr>
        <w:t xml:space="preserve">A finales de la dictadura se inició la inversión masiva de la minera La Escondida, financiada parcialmente con pagarés de la deuda externa y el subsidio implícito que acarreaba </w:t>
      </w:r>
      <w:r w:rsidRPr="003F7184">
        <w:rPr>
          <w:lang w:val="es-CL"/>
        </w:rPr>
        <w:t>(Ffrench-Davis, 2003, sección I</w:t>
      </w:r>
      <w:r>
        <w:rPr>
          <w:lang w:val="es-CL"/>
        </w:rPr>
        <w:t>.1</w:t>
      </w:r>
      <w:r w:rsidRPr="003F7184">
        <w:rPr>
          <w:lang w:val="es-CL"/>
        </w:rPr>
        <w:t>)</w:t>
      </w:r>
      <w:r>
        <w:rPr>
          <w:lang w:val="es-CL"/>
        </w:rPr>
        <w:t>.</w:t>
      </w:r>
    </w:p>
  </w:footnote>
  <w:footnote w:id="9">
    <w:p w14:paraId="1723380B" w14:textId="0ED61511" w:rsidR="00931A70" w:rsidRPr="00991DB0" w:rsidRDefault="00931A70" w:rsidP="0040070D">
      <w:pPr>
        <w:pStyle w:val="Textonotapie"/>
        <w:rPr>
          <w:lang w:val="es-CL"/>
        </w:rPr>
      </w:pPr>
      <w:r>
        <w:rPr>
          <w:rStyle w:val="Refdenotaalpie"/>
        </w:rPr>
        <w:footnoteRef/>
      </w:r>
      <w:r>
        <w:rPr>
          <w:lang w:val="es-CL"/>
        </w:rPr>
        <w:t xml:space="preserve">/ </w:t>
      </w:r>
      <w:r w:rsidRPr="006579ED">
        <w:rPr>
          <w:rFonts w:asciiTheme="minorHAnsi" w:hAnsiTheme="minorHAnsi"/>
          <w:lang w:val="es-CL"/>
        </w:rPr>
        <w:t>La IED</w:t>
      </w:r>
      <w:r>
        <w:rPr>
          <w:rFonts w:asciiTheme="minorHAnsi" w:hAnsiTheme="minorHAnsi"/>
          <w:lang w:val="es-CL"/>
        </w:rPr>
        <w:t xml:space="preserve"> nueva</w:t>
      </w:r>
      <w:r w:rsidRPr="006579ED">
        <w:rPr>
          <w:rFonts w:asciiTheme="minorHAnsi" w:hAnsiTheme="minorHAnsi"/>
          <w:lang w:val="es-CL"/>
        </w:rPr>
        <w:t xml:space="preserve"> representa una parte relativamente pequeña de la </w:t>
      </w:r>
      <w:r>
        <w:rPr>
          <w:rFonts w:asciiTheme="minorHAnsi" w:hAnsiTheme="minorHAnsi"/>
          <w:lang w:val="es-CL"/>
        </w:rPr>
        <w:t>inversión</w:t>
      </w:r>
      <w:r w:rsidRPr="006579ED">
        <w:rPr>
          <w:rFonts w:asciiTheme="minorHAnsi" w:hAnsiTheme="minorHAnsi"/>
          <w:lang w:val="es-CL"/>
        </w:rPr>
        <w:t xml:space="preserve"> </w:t>
      </w:r>
      <w:r>
        <w:rPr>
          <w:rFonts w:asciiTheme="minorHAnsi" w:hAnsiTheme="minorHAnsi"/>
          <w:lang w:val="es-CL"/>
        </w:rPr>
        <w:t xml:space="preserve">total </w:t>
      </w:r>
      <w:r w:rsidRPr="006579ED">
        <w:rPr>
          <w:rFonts w:asciiTheme="minorHAnsi" w:hAnsiTheme="minorHAnsi"/>
          <w:lang w:val="es-CL"/>
        </w:rPr>
        <w:t>en el mundo (</w:t>
      </w:r>
      <w:r>
        <w:rPr>
          <w:rFonts w:asciiTheme="minorHAnsi" w:hAnsiTheme="minorHAnsi"/>
          <w:lang w:val="es-CL"/>
        </w:rPr>
        <w:t xml:space="preserve">ha fluctuado </w:t>
      </w:r>
      <w:r w:rsidRPr="006579ED">
        <w:rPr>
          <w:rFonts w:asciiTheme="minorHAnsi" w:hAnsiTheme="minorHAnsi"/>
          <w:lang w:val="es-CL"/>
        </w:rPr>
        <w:t>alrededor de un décimo).</w:t>
      </w:r>
      <w:r>
        <w:rPr>
          <w:rFonts w:asciiTheme="minorHAnsi" w:hAnsiTheme="minorHAnsi"/>
          <w:lang w:val="es-CL"/>
        </w:rPr>
        <w:t xml:space="preserve"> </w:t>
      </w:r>
      <w:r w:rsidRPr="00991DB0">
        <w:rPr>
          <w:lang w:val="es-CL"/>
        </w:rPr>
        <w:t xml:space="preserve"> </w:t>
      </w:r>
    </w:p>
  </w:footnote>
  <w:footnote w:id="10">
    <w:p w14:paraId="3D29B4C5" w14:textId="085A572B" w:rsidR="00931A70" w:rsidRPr="00EC0F54" w:rsidRDefault="00931A70" w:rsidP="0040070D">
      <w:pPr>
        <w:pStyle w:val="Textonotapie"/>
        <w:rPr>
          <w:lang w:val="es-CL"/>
        </w:rPr>
      </w:pPr>
      <w:r>
        <w:rPr>
          <w:rStyle w:val="Refdenotaalpie"/>
        </w:rPr>
        <w:footnoteRef/>
      </w:r>
      <w:r w:rsidRPr="00EC0F54">
        <w:rPr>
          <w:lang w:val="es-CL"/>
        </w:rPr>
        <w:t xml:space="preserve"> </w:t>
      </w:r>
      <w:r>
        <w:rPr>
          <w:lang w:val="es-CL"/>
        </w:rPr>
        <w:t>La t</w:t>
      </w:r>
      <w:r w:rsidRPr="00EC0F54">
        <w:rPr>
          <w:lang w:val="es-CL"/>
        </w:rPr>
        <w:t xml:space="preserve">endencia </w:t>
      </w:r>
      <w:r>
        <w:rPr>
          <w:lang w:val="es-CL"/>
        </w:rPr>
        <w:t>continu</w:t>
      </w:r>
      <w:r w:rsidRPr="00EC0F54">
        <w:rPr>
          <w:lang w:val="es-CL"/>
        </w:rPr>
        <w:t>ó en</w:t>
      </w:r>
      <w:r>
        <w:rPr>
          <w:lang w:val="es-CL"/>
        </w:rPr>
        <w:t xml:space="preserve"> el bienio</w:t>
      </w:r>
      <w:r w:rsidRPr="00EC0F54">
        <w:rPr>
          <w:lang w:val="es-CL"/>
        </w:rPr>
        <w:t xml:space="preserve"> 2016-17, con caída de cerca de 2</w:t>
      </w:r>
      <w:r w:rsidRPr="0040145A">
        <w:rPr>
          <w:lang w:val="es-CL"/>
        </w:rPr>
        <w:t>% y alza de 9%, respectivamente</w:t>
      </w:r>
      <w:r w:rsidRPr="00EC0F54">
        <w:rPr>
          <w:lang w:val="es-CL"/>
        </w:rPr>
        <w:t>.</w:t>
      </w:r>
    </w:p>
  </w:footnote>
  <w:footnote w:id="11">
    <w:p w14:paraId="0408BAF1" w14:textId="77777777" w:rsidR="00931A70" w:rsidRPr="002602F1" w:rsidRDefault="00931A70" w:rsidP="0040070D">
      <w:pPr>
        <w:pStyle w:val="Textonotapie"/>
        <w:rPr>
          <w:rFonts w:asciiTheme="minorHAnsi" w:hAnsiTheme="minorHAnsi"/>
          <w:lang w:val="es-CL"/>
        </w:rPr>
      </w:pPr>
      <w:r w:rsidRPr="002602F1">
        <w:rPr>
          <w:rStyle w:val="Refdenotaalpie"/>
          <w:rFonts w:asciiTheme="minorHAnsi" w:hAnsiTheme="minorHAnsi"/>
        </w:rPr>
        <w:footnoteRef/>
      </w:r>
      <w:r w:rsidRPr="002602F1">
        <w:rPr>
          <w:rFonts w:asciiTheme="minorHAnsi" w:hAnsiTheme="minorHAnsi"/>
          <w:lang w:val="es-CL"/>
        </w:rPr>
        <w:t xml:space="preserve">/ El análisis del tema lo </w:t>
      </w:r>
      <w:r>
        <w:rPr>
          <w:rFonts w:asciiTheme="minorHAnsi" w:hAnsiTheme="minorHAnsi"/>
          <w:lang w:val="es-CL"/>
        </w:rPr>
        <w:t xml:space="preserve">tomamos con mayor extensión en </w:t>
      </w:r>
      <w:r w:rsidRPr="002602F1">
        <w:rPr>
          <w:rFonts w:asciiTheme="minorHAnsi" w:hAnsiTheme="minorHAnsi"/>
          <w:lang w:val="es-CL"/>
        </w:rPr>
        <w:t>Ffrench-Davis (2010).</w:t>
      </w:r>
    </w:p>
  </w:footnote>
  <w:footnote w:id="12">
    <w:p w14:paraId="5DF86D11" w14:textId="73EB47A8" w:rsidR="00931A70" w:rsidRPr="00E30F76" w:rsidRDefault="00931A70" w:rsidP="0040070D">
      <w:pPr>
        <w:pStyle w:val="Textonotapie"/>
        <w:rPr>
          <w:lang w:val="es-CL"/>
        </w:rPr>
      </w:pPr>
      <w:r>
        <w:rPr>
          <w:rStyle w:val="Refdenotaalpie"/>
        </w:rPr>
        <w:footnoteRef/>
      </w:r>
      <w:r>
        <w:rPr>
          <w:lang w:val="es-CL"/>
        </w:rPr>
        <w:t>/ El Banco Central todavía no entrega series desagregadas de FBKF a precios encadenados 2013, con</w:t>
      </w:r>
      <w:r w:rsidRPr="00E30F76">
        <w:rPr>
          <w:lang w:val="es-CL"/>
        </w:rPr>
        <w:t xml:space="preserve"> </w:t>
      </w:r>
      <w:r>
        <w:rPr>
          <w:lang w:val="es-CL"/>
        </w:rPr>
        <w:t xml:space="preserve">excepción de los sectores minero y de servicios de vivienda </w:t>
      </w:r>
      <w:r w:rsidRPr="00E13BBD">
        <w:rPr>
          <w:lang w:val="es-CL"/>
        </w:rPr>
        <w:t xml:space="preserve">para 2008-16. Los cambios metodológicos y los efectos de tomar años base 2008 y 2013, generan diferencias apreciables de FBKF minero. </w:t>
      </w:r>
    </w:p>
  </w:footnote>
  <w:footnote w:id="13">
    <w:p w14:paraId="046F0AFF" w14:textId="77777777" w:rsidR="00931A70" w:rsidRPr="005D0EC0" w:rsidRDefault="00931A70" w:rsidP="00A74402">
      <w:pPr>
        <w:pStyle w:val="Textonotapie"/>
        <w:rPr>
          <w:rFonts w:asciiTheme="minorHAnsi" w:hAnsiTheme="minorHAnsi"/>
          <w:lang w:val="es-CL"/>
        </w:rPr>
      </w:pPr>
      <w:r w:rsidRPr="000A403C">
        <w:rPr>
          <w:rStyle w:val="Refdenotaalpie"/>
          <w:rFonts w:asciiTheme="minorHAnsi" w:hAnsiTheme="minorHAnsi"/>
        </w:rPr>
        <w:footnoteRef/>
      </w:r>
      <w:r w:rsidRPr="000A403C">
        <w:rPr>
          <w:rFonts w:asciiTheme="minorHAnsi" w:hAnsiTheme="minorHAnsi"/>
          <w:lang w:val="es-CL"/>
        </w:rPr>
        <w:t>/ Informe</w:t>
      </w:r>
      <w:r>
        <w:rPr>
          <w:rFonts w:asciiTheme="minorHAnsi" w:hAnsiTheme="minorHAnsi"/>
          <w:lang w:val="es-CL"/>
        </w:rPr>
        <w:t>s</w:t>
      </w:r>
      <w:r w:rsidRPr="000A403C">
        <w:rPr>
          <w:rFonts w:asciiTheme="minorHAnsi" w:hAnsiTheme="minorHAnsi"/>
          <w:lang w:val="es-CL"/>
        </w:rPr>
        <w:t xml:space="preserve"> sobre Pesca Industrial</w:t>
      </w:r>
      <w:r>
        <w:rPr>
          <w:rFonts w:asciiTheme="minorHAnsi" w:hAnsiTheme="minorHAnsi"/>
          <w:lang w:val="es-CL"/>
        </w:rPr>
        <w:t xml:space="preserve"> y Pesca Artesanal</w:t>
      </w:r>
      <w:r w:rsidRPr="000A403C">
        <w:rPr>
          <w:rFonts w:asciiTheme="minorHAnsi" w:hAnsiTheme="minorHAnsi"/>
          <w:lang w:val="es-CL"/>
        </w:rPr>
        <w:t xml:space="preserve">, </w:t>
      </w:r>
      <w:r>
        <w:rPr>
          <w:rFonts w:asciiTheme="minorHAnsi" w:hAnsiTheme="minorHAnsi"/>
          <w:lang w:val="es-CL"/>
        </w:rPr>
        <w:t>www.sernapesca.cl</w:t>
      </w:r>
      <w:r w:rsidRPr="005D0EC0">
        <w:rPr>
          <w:rFonts w:asciiTheme="minorHAnsi" w:hAnsiTheme="minorHAnsi"/>
          <w:lang w:val="es-CL"/>
        </w:rPr>
        <w:t xml:space="preserve">. </w:t>
      </w:r>
      <w:r>
        <w:rPr>
          <w:rFonts w:asciiTheme="minorHAnsi" w:hAnsiTheme="minorHAnsi"/>
          <w:lang w:val="es-CL"/>
        </w:rPr>
        <w:t>En 1990-03 los desembarques de la pesca artesanal crecieron al 8,7% anual, mientras que los desembarques de pesca industrial disminuyeron a una tasa del 6,0%. En 2004-2017, los desembarques de la pesca artesanal se redujeron al 1,3% anual, mientras que los de la pesca industrial declinaron 9,6% anual.</w:t>
      </w:r>
    </w:p>
  </w:footnote>
  <w:footnote w:id="14">
    <w:p w14:paraId="22BF51CF" w14:textId="1C287805" w:rsidR="00931A70" w:rsidRPr="009260C5" w:rsidRDefault="00931A70">
      <w:pPr>
        <w:pStyle w:val="Textonotapie"/>
        <w:rPr>
          <w:lang w:val="es-CL"/>
        </w:rPr>
      </w:pPr>
      <w:r>
        <w:rPr>
          <w:rStyle w:val="Refdenotaalpie"/>
        </w:rPr>
        <w:footnoteRef/>
      </w:r>
      <w:r>
        <w:rPr>
          <w:lang w:val="es-CL"/>
        </w:rPr>
        <w:t>/ Cabe destacar que Chile tiene también potencial de producción de “tierras raras” entre las cuales está el Cobalto, que el país dejó de producir en 1944. Hay estudios en marcha que muestran el potencial minero de Chile en este campo, aunque la exploración minera debe confirmar que sean reservas que pueden explotarse en forma rentable, dadas las tecnologías disponibles (</w:t>
      </w:r>
      <w:r w:rsidRPr="00F907A4">
        <w:rPr>
          <w:szCs w:val="24"/>
          <w:lang w:val="es-CL"/>
        </w:rPr>
        <w:t>Townley</w:t>
      </w:r>
      <w:r w:rsidRPr="005F7834">
        <w:rPr>
          <w:szCs w:val="24"/>
          <w:lang w:val="es-CL"/>
        </w:rPr>
        <w:t xml:space="preserve"> </w:t>
      </w:r>
      <w:r w:rsidRPr="005F7834">
        <w:rPr>
          <w:i/>
          <w:szCs w:val="24"/>
          <w:lang w:val="es-CL"/>
        </w:rPr>
        <w:t>e</w:t>
      </w:r>
      <w:r w:rsidRPr="009260C5">
        <w:rPr>
          <w:i/>
          <w:szCs w:val="24"/>
          <w:lang w:val="es-CL"/>
        </w:rPr>
        <w:t>t al.</w:t>
      </w:r>
      <w:r>
        <w:rPr>
          <w:szCs w:val="24"/>
          <w:lang w:val="es-CL"/>
        </w:rPr>
        <w:t xml:space="preserve">, </w:t>
      </w:r>
      <w:r w:rsidRPr="009260C5">
        <w:rPr>
          <w:szCs w:val="24"/>
          <w:lang w:val="es-CL"/>
        </w:rPr>
        <w:t>2017)</w:t>
      </w:r>
      <w:r>
        <w:rPr>
          <w:szCs w:val="24"/>
          <w:lang w:val="es-CL"/>
        </w:rPr>
        <w:t>.</w:t>
      </w:r>
      <w:r w:rsidRPr="009260C5">
        <w:rPr>
          <w:lang w:val="es-C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05BD"/>
    <w:multiLevelType w:val="hybridMultilevel"/>
    <w:tmpl w:val="D826C5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BB308C"/>
    <w:multiLevelType w:val="hybridMultilevel"/>
    <w:tmpl w:val="39DAB78E"/>
    <w:lvl w:ilvl="0" w:tplc="A62ECCB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A1F3E97"/>
    <w:multiLevelType w:val="hybridMultilevel"/>
    <w:tmpl w:val="F1341612"/>
    <w:lvl w:ilvl="0" w:tplc="09F69F4E">
      <w:start w:val="74"/>
      <w:numFmt w:val="bullet"/>
      <w:lvlText w:val="-"/>
      <w:lvlJc w:val="left"/>
      <w:pPr>
        <w:ind w:left="286" w:hanging="360"/>
      </w:pPr>
      <w:rPr>
        <w:rFonts w:ascii="Times New Roman" w:eastAsia="Times New Roman" w:hAnsi="Times New Roman" w:cs="Times New Roman" w:hint="default"/>
      </w:rPr>
    </w:lvl>
    <w:lvl w:ilvl="1" w:tplc="340A0003" w:tentative="1">
      <w:start w:val="1"/>
      <w:numFmt w:val="bullet"/>
      <w:lvlText w:val="o"/>
      <w:lvlJc w:val="left"/>
      <w:pPr>
        <w:ind w:left="1006" w:hanging="360"/>
      </w:pPr>
      <w:rPr>
        <w:rFonts w:ascii="Courier New" w:hAnsi="Courier New" w:cs="Courier New" w:hint="default"/>
      </w:rPr>
    </w:lvl>
    <w:lvl w:ilvl="2" w:tplc="340A0005" w:tentative="1">
      <w:start w:val="1"/>
      <w:numFmt w:val="bullet"/>
      <w:lvlText w:val=""/>
      <w:lvlJc w:val="left"/>
      <w:pPr>
        <w:ind w:left="1726" w:hanging="360"/>
      </w:pPr>
      <w:rPr>
        <w:rFonts w:ascii="Wingdings" w:hAnsi="Wingdings" w:hint="default"/>
      </w:rPr>
    </w:lvl>
    <w:lvl w:ilvl="3" w:tplc="340A0001" w:tentative="1">
      <w:start w:val="1"/>
      <w:numFmt w:val="bullet"/>
      <w:lvlText w:val=""/>
      <w:lvlJc w:val="left"/>
      <w:pPr>
        <w:ind w:left="2446" w:hanging="360"/>
      </w:pPr>
      <w:rPr>
        <w:rFonts w:ascii="Symbol" w:hAnsi="Symbol" w:hint="default"/>
      </w:rPr>
    </w:lvl>
    <w:lvl w:ilvl="4" w:tplc="340A0003" w:tentative="1">
      <w:start w:val="1"/>
      <w:numFmt w:val="bullet"/>
      <w:lvlText w:val="o"/>
      <w:lvlJc w:val="left"/>
      <w:pPr>
        <w:ind w:left="3166" w:hanging="360"/>
      </w:pPr>
      <w:rPr>
        <w:rFonts w:ascii="Courier New" w:hAnsi="Courier New" w:cs="Courier New" w:hint="default"/>
      </w:rPr>
    </w:lvl>
    <w:lvl w:ilvl="5" w:tplc="340A0005" w:tentative="1">
      <w:start w:val="1"/>
      <w:numFmt w:val="bullet"/>
      <w:lvlText w:val=""/>
      <w:lvlJc w:val="left"/>
      <w:pPr>
        <w:ind w:left="3886" w:hanging="360"/>
      </w:pPr>
      <w:rPr>
        <w:rFonts w:ascii="Wingdings" w:hAnsi="Wingdings" w:hint="default"/>
      </w:rPr>
    </w:lvl>
    <w:lvl w:ilvl="6" w:tplc="340A0001" w:tentative="1">
      <w:start w:val="1"/>
      <w:numFmt w:val="bullet"/>
      <w:lvlText w:val=""/>
      <w:lvlJc w:val="left"/>
      <w:pPr>
        <w:ind w:left="4606" w:hanging="360"/>
      </w:pPr>
      <w:rPr>
        <w:rFonts w:ascii="Symbol" w:hAnsi="Symbol" w:hint="default"/>
      </w:rPr>
    </w:lvl>
    <w:lvl w:ilvl="7" w:tplc="340A0003" w:tentative="1">
      <w:start w:val="1"/>
      <w:numFmt w:val="bullet"/>
      <w:lvlText w:val="o"/>
      <w:lvlJc w:val="left"/>
      <w:pPr>
        <w:ind w:left="5326" w:hanging="360"/>
      </w:pPr>
      <w:rPr>
        <w:rFonts w:ascii="Courier New" w:hAnsi="Courier New" w:cs="Courier New" w:hint="default"/>
      </w:rPr>
    </w:lvl>
    <w:lvl w:ilvl="8" w:tplc="340A0005" w:tentative="1">
      <w:start w:val="1"/>
      <w:numFmt w:val="bullet"/>
      <w:lvlText w:val=""/>
      <w:lvlJc w:val="left"/>
      <w:pPr>
        <w:ind w:left="6046" w:hanging="360"/>
      </w:pPr>
      <w:rPr>
        <w:rFonts w:ascii="Wingdings" w:hAnsi="Wingdings" w:hint="default"/>
      </w:rPr>
    </w:lvl>
  </w:abstractNum>
  <w:abstractNum w:abstractNumId="3" w15:restartNumberingAfterBreak="0">
    <w:nsid w:val="1E137B55"/>
    <w:multiLevelType w:val="hybridMultilevel"/>
    <w:tmpl w:val="85964DFA"/>
    <w:lvl w:ilvl="0" w:tplc="894CA5A0">
      <w:start w:val="5"/>
      <w:numFmt w:val="bullet"/>
      <w:lvlText w:val="-"/>
      <w:lvlJc w:val="left"/>
      <w:pPr>
        <w:ind w:left="286" w:hanging="360"/>
      </w:pPr>
      <w:rPr>
        <w:rFonts w:ascii="Times New Roman" w:eastAsia="Times New Roman" w:hAnsi="Times New Roman" w:cs="Times New Roman" w:hint="default"/>
      </w:rPr>
    </w:lvl>
    <w:lvl w:ilvl="1" w:tplc="340A0003" w:tentative="1">
      <w:start w:val="1"/>
      <w:numFmt w:val="bullet"/>
      <w:lvlText w:val="o"/>
      <w:lvlJc w:val="left"/>
      <w:pPr>
        <w:ind w:left="1006" w:hanging="360"/>
      </w:pPr>
      <w:rPr>
        <w:rFonts w:ascii="Courier New" w:hAnsi="Courier New" w:cs="Courier New" w:hint="default"/>
      </w:rPr>
    </w:lvl>
    <w:lvl w:ilvl="2" w:tplc="340A0005" w:tentative="1">
      <w:start w:val="1"/>
      <w:numFmt w:val="bullet"/>
      <w:lvlText w:val=""/>
      <w:lvlJc w:val="left"/>
      <w:pPr>
        <w:ind w:left="1726" w:hanging="360"/>
      </w:pPr>
      <w:rPr>
        <w:rFonts w:ascii="Wingdings" w:hAnsi="Wingdings" w:hint="default"/>
      </w:rPr>
    </w:lvl>
    <w:lvl w:ilvl="3" w:tplc="340A0001" w:tentative="1">
      <w:start w:val="1"/>
      <w:numFmt w:val="bullet"/>
      <w:lvlText w:val=""/>
      <w:lvlJc w:val="left"/>
      <w:pPr>
        <w:ind w:left="2446" w:hanging="360"/>
      </w:pPr>
      <w:rPr>
        <w:rFonts w:ascii="Symbol" w:hAnsi="Symbol" w:hint="default"/>
      </w:rPr>
    </w:lvl>
    <w:lvl w:ilvl="4" w:tplc="340A0003" w:tentative="1">
      <w:start w:val="1"/>
      <w:numFmt w:val="bullet"/>
      <w:lvlText w:val="o"/>
      <w:lvlJc w:val="left"/>
      <w:pPr>
        <w:ind w:left="3166" w:hanging="360"/>
      </w:pPr>
      <w:rPr>
        <w:rFonts w:ascii="Courier New" w:hAnsi="Courier New" w:cs="Courier New" w:hint="default"/>
      </w:rPr>
    </w:lvl>
    <w:lvl w:ilvl="5" w:tplc="340A0005" w:tentative="1">
      <w:start w:val="1"/>
      <w:numFmt w:val="bullet"/>
      <w:lvlText w:val=""/>
      <w:lvlJc w:val="left"/>
      <w:pPr>
        <w:ind w:left="3886" w:hanging="360"/>
      </w:pPr>
      <w:rPr>
        <w:rFonts w:ascii="Wingdings" w:hAnsi="Wingdings" w:hint="default"/>
      </w:rPr>
    </w:lvl>
    <w:lvl w:ilvl="6" w:tplc="340A0001" w:tentative="1">
      <w:start w:val="1"/>
      <w:numFmt w:val="bullet"/>
      <w:lvlText w:val=""/>
      <w:lvlJc w:val="left"/>
      <w:pPr>
        <w:ind w:left="4606" w:hanging="360"/>
      </w:pPr>
      <w:rPr>
        <w:rFonts w:ascii="Symbol" w:hAnsi="Symbol" w:hint="default"/>
      </w:rPr>
    </w:lvl>
    <w:lvl w:ilvl="7" w:tplc="340A0003" w:tentative="1">
      <w:start w:val="1"/>
      <w:numFmt w:val="bullet"/>
      <w:lvlText w:val="o"/>
      <w:lvlJc w:val="left"/>
      <w:pPr>
        <w:ind w:left="5326" w:hanging="360"/>
      </w:pPr>
      <w:rPr>
        <w:rFonts w:ascii="Courier New" w:hAnsi="Courier New" w:cs="Courier New" w:hint="default"/>
      </w:rPr>
    </w:lvl>
    <w:lvl w:ilvl="8" w:tplc="340A0005" w:tentative="1">
      <w:start w:val="1"/>
      <w:numFmt w:val="bullet"/>
      <w:lvlText w:val=""/>
      <w:lvlJc w:val="left"/>
      <w:pPr>
        <w:ind w:left="6046" w:hanging="360"/>
      </w:pPr>
      <w:rPr>
        <w:rFonts w:ascii="Wingdings" w:hAnsi="Wingdings" w:hint="default"/>
      </w:rPr>
    </w:lvl>
  </w:abstractNum>
  <w:abstractNum w:abstractNumId="4" w15:restartNumberingAfterBreak="0">
    <w:nsid w:val="24116A08"/>
    <w:multiLevelType w:val="hybridMultilevel"/>
    <w:tmpl w:val="F06273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85D28D0"/>
    <w:multiLevelType w:val="hybridMultilevel"/>
    <w:tmpl w:val="A2F8A68E"/>
    <w:lvl w:ilvl="0" w:tplc="2D72E37C">
      <w:start w:val="4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A345859"/>
    <w:multiLevelType w:val="hybridMultilevel"/>
    <w:tmpl w:val="2DAECE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D2F2E9F"/>
    <w:multiLevelType w:val="hybridMultilevel"/>
    <w:tmpl w:val="C4B60BEC"/>
    <w:lvl w:ilvl="0" w:tplc="7E2E1646">
      <w:start w:val="5"/>
      <w:numFmt w:val="bullet"/>
      <w:lvlText w:val="-"/>
      <w:lvlJc w:val="left"/>
      <w:pPr>
        <w:ind w:left="286" w:hanging="360"/>
      </w:pPr>
      <w:rPr>
        <w:rFonts w:ascii="Times New Roman" w:eastAsia="Times New Roman" w:hAnsi="Times New Roman" w:cs="Times New Roman" w:hint="default"/>
      </w:rPr>
    </w:lvl>
    <w:lvl w:ilvl="1" w:tplc="340A0003" w:tentative="1">
      <w:start w:val="1"/>
      <w:numFmt w:val="bullet"/>
      <w:lvlText w:val="o"/>
      <w:lvlJc w:val="left"/>
      <w:pPr>
        <w:ind w:left="1006" w:hanging="360"/>
      </w:pPr>
      <w:rPr>
        <w:rFonts w:ascii="Courier New" w:hAnsi="Courier New" w:cs="Courier New" w:hint="default"/>
      </w:rPr>
    </w:lvl>
    <w:lvl w:ilvl="2" w:tplc="340A0005" w:tentative="1">
      <w:start w:val="1"/>
      <w:numFmt w:val="bullet"/>
      <w:lvlText w:val=""/>
      <w:lvlJc w:val="left"/>
      <w:pPr>
        <w:ind w:left="1726" w:hanging="360"/>
      </w:pPr>
      <w:rPr>
        <w:rFonts w:ascii="Wingdings" w:hAnsi="Wingdings" w:hint="default"/>
      </w:rPr>
    </w:lvl>
    <w:lvl w:ilvl="3" w:tplc="340A0001" w:tentative="1">
      <w:start w:val="1"/>
      <w:numFmt w:val="bullet"/>
      <w:lvlText w:val=""/>
      <w:lvlJc w:val="left"/>
      <w:pPr>
        <w:ind w:left="2446" w:hanging="360"/>
      </w:pPr>
      <w:rPr>
        <w:rFonts w:ascii="Symbol" w:hAnsi="Symbol" w:hint="default"/>
      </w:rPr>
    </w:lvl>
    <w:lvl w:ilvl="4" w:tplc="340A0003" w:tentative="1">
      <w:start w:val="1"/>
      <w:numFmt w:val="bullet"/>
      <w:lvlText w:val="o"/>
      <w:lvlJc w:val="left"/>
      <w:pPr>
        <w:ind w:left="3166" w:hanging="360"/>
      </w:pPr>
      <w:rPr>
        <w:rFonts w:ascii="Courier New" w:hAnsi="Courier New" w:cs="Courier New" w:hint="default"/>
      </w:rPr>
    </w:lvl>
    <w:lvl w:ilvl="5" w:tplc="340A0005" w:tentative="1">
      <w:start w:val="1"/>
      <w:numFmt w:val="bullet"/>
      <w:lvlText w:val=""/>
      <w:lvlJc w:val="left"/>
      <w:pPr>
        <w:ind w:left="3886" w:hanging="360"/>
      </w:pPr>
      <w:rPr>
        <w:rFonts w:ascii="Wingdings" w:hAnsi="Wingdings" w:hint="default"/>
      </w:rPr>
    </w:lvl>
    <w:lvl w:ilvl="6" w:tplc="340A0001" w:tentative="1">
      <w:start w:val="1"/>
      <w:numFmt w:val="bullet"/>
      <w:lvlText w:val=""/>
      <w:lvlJc w:val="left"/>
      <w:pPr>
        <w:ind w:left="4606" w:hanging="360"/>
      </w:pPr>
      <w:rPr>
        <w:rFonts w:ascii="Symbol" w:hAnsi="Symbol" w:hint="default"/>
      </w:rPr>
    </w:lvl>
    <w:lvl w:ilvl="7" w:tplc="340A0003" w:tentative="1">
      <w:start w:val="1"/>
      <w:numFmt w:val="bullet"/>
      <w:lvlText w:val="o"/>
      <w:lvlJc w:val="left"/>
      <w:pPr>
        <w:ind w:left="5326" w:hanging="360"/>
      </w:pPr>
      <w:rPr>
        <w:rFonts w:ascii="Courier New" w:hAnsi="Courier New" w:cs="Courier New" w:hint="default"/>
      </w:rPr>
    </w:lvl>
    <w:lvl w:ilvl="8" w:tplc="340A0005" w:tentative="1">
      <w:start w:val="1"/>
      <w:numFmt w:val="bullet"/>
      <w:lvlText w:val=""/>
      <w:lvlJc w:val="left"/>
      <w:pPr>
        <w:ind w:left="6046" w:hanging="360"/>
      </w:pPr>
      <w:rPr>
        <w:rFonts w:ascii="Wingdings" w:hAnsi="Wingdings" w:hint="default"/>
      </w:rPr>
    </w:lvl>
  </w:abstractNum>
  <w:abstractNum w:abstractNumId="8" w15:restartNumberingAfterBreak="0">
    <w:nsid w:val="306268D9"/>
    <w:multiLevelType w:val="hybridMultilevel"/>
    <w:tmpl w:val="1E9ED3EA"/>
    <w:lvl w:ilvl="0" w:tplc="3676CD30">
      <w:start w:val="74"/>
      <w:numFmt w:val="bullet"/>
      <w:lvlText w:val="-"/>
      <w:lvlJc w:val="left"/>
      <w:pPr>
        <w:ind w:left="286" w:hanging="360"/>
      </w:pPr>
      <w:rPr>
        <w:rFonts w:ascii="Times New Roman" w:eastAsia="Times New Roman" w:hAnsi="Times New Roman" w:cs="Times New Roman" w:hint="default"/>
      </w:rPr>
    </w:lvl>
    <w:lvl w:ilvl="1" w:tplc="340A0003" w:tentative="1">
      <w:start w:val="1"/>
      <w:numFmt w:val="bullet"/>
      <w:lvlText w:val="o"/>
      <w:lvlJc w:val="left"/>
      <w:pPr>
        <w:ind w:left="1006" w:hanging="360"/>
      </w:pPr>
      <w:rPr>
        <w:rFonts w:ascii="Courier New" w:hAnsi="Courier New" w:cs="Courier New" w:hint="default"/>
      </w:rPr>
    </w:lvl>
    <w:lvl w:ilvl="2" w:tplc="340A0005" w:tentative="1">
      <w:start w:val="1"/>
      <w:numFmt w:val="bullet"/>
      <w:lvlText w:val=""/>
      <w:lvlJc w:val="left"/>
      <w:pPr>
        <w:ind w:left="1726" w:hanging="360"/>
      </w:pPr>
      <w:rPr>
        <w:rFonts w:ascii="Wingdings" w:hAnsi="Wingdings" w:hint="default"/>
      </w:rPr>
    </w:lvl>
    <w:lvl w:ilvl="3" w:tplc="340A0001" w:tentative="1">
      <w:start w:val="1"/>
      <w:numFmt w:val="bullet"/>
      <w:lvlText w:val=""/>
      <w:lvlJc w:val="left"/>
      <w:pPr>
        <w:ind w:left="2446" w:hanging="360"/>
      </w:pPr>
      <w:rPr>
        <w:rFonts w:ascii="Symbol" w:hAnsi="Symbol" w:hint="default"/>
      </w:rPr>
    </w:lvl>
    <w:lvl w:ilvl="4" w:tplc="340A0003" w:tentative="1">
      <w:start w:val="1"/>
      <w:numFmt w:val="bullet"/>
      <w:lvlText w:val="o"/>
      <w:lvlJc w:val="left"/>
      <w:pPr>
        <w:ind w:left="3166" w:hanging="360"/>
      </w:pPr>
      <w:rPr>
        <w:rFonts w:ascii="Courier New" w:hAnsi="Courier New" w:cs="Courier New" w:hint="default"/>
      </w:rPr>
    </w:lvl>
    <w:lvl w:ilvl="5" w:tplc="340A0005" w:tentative="1">
      <w:start w:val="1"/>
      <w:numFmt w:val="bullet"/>
      <w:lvlText w:val=""/>
      <w:lvlJc w:val="left"/>
      <w:pPr>
        <w:ind w:left="3886" w:hanging="360"/>
      </w:pPr>
      <w:rPr>
        <w:rFonts w:ascii="Wingdings" w:hAnsi="Wingdings" w:hint="default"/>
      </w:rPr>
    </w:lvl>
    <w:lvl w:ilvl="6" w:tplc="340A0001" w:tentative="1">
      <w:start w:val="1"/>
      <w:numFmt w:val="bullet"/>
      <w:lvlText w:val=""/>
      <w:lvlJc w:val="left"/>
      <w:pPr>
        <w:ind w:left="4606" w:hanging="360"/>
      </w:pPr>
      <w:rPr>
        <w:rFonts w:ascii="Symbol" w:hAnsi="Symbol" w:hint="default"/>
      </w:rPr>
    </w:lvl>
    <w:lvl w:ilvl="7" w:tplc="340A0003" w:tentative="1">
      <w:start w:val="1"/>
      <w:numFmt w:val="bullet"/>
      <w:lvlText w:val="o"/>
      <w:lvlJc w:val="left"/>
      <w:pPr>
        <w:ind w:left="5326" w:hanging="360"/>
      </w:pPr>
      <w:rPr>
        <w:rFonts w:ascii="Courier New" w:hAnsi="Courier New" w:cs="Courier New" w:hint="default"/>
      </w:rPr>
    </w:lvl>
    <w:lvl w:ilvl="8" w:tplc="340A0005" w:tentative="1">
      <w:start w:val="1"/>
      <w:numFmt w:val="bullet"/>
      <w:lvlText w:val=""/>
      <w:lvlJc w:val="left"/>
      <w:pPr>
        <w:ind w:left="6046" w:hanging="360"/>
      </w:pPr>
      <w:rPr>
        <w:rFonts w:ascii="Wingdings" w:hAnsi="Wingdings" w:hint="default"/>
      </w:rPr>
    </w:lvl>
  </w:abstractNum>
  <w:abstractNum w:abstractNumId="9" w15:restartNumberingAfterBreak="0">
    <w:nsid w:val="3CF71A05"/>
    <w:multiLevelType w:val="hybridMultilevel"/>
    <w:tmpl w:val="6212B3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D1A4319"/>
    <w:multiLevelType w:val="hybridMultilevel"/>
    <w:tmpl w:val="3B6CE6B8"/>
    <w:lvl w:ilvl="0" w:tplc="0F3A898C">
      <w:start w:val="1"/>
      <w:numFmt w:val="lowerLetter"/>
      <w:lvlText w:val="%1)"/>
      <w:lvlJc w:val="left"/>
      <w:pPr>
        <w:ind w:left="720" w:hanging="360"/>
      </w:pPr>
      <w:rPr>
        <w:rFonts w:hint="default"/>
        <w:b/>
        <w:i/>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4ED726E"/>
    <w:multiLevelType w:val="hybridMultilevel"/>
    <w:tmpl w:val="F4FAA910"/>
    <w:lvl w:ilvl="0" w:tplc="418CEE0C">
      <w:start w:val="1"/>
      <w:numFmt w:val="bullet"/>
      <w:lvlText w:val="-"/>
      <w:lvlJc w:val="left"/>
      <w:pPr>
        <w:ind w:left="286" w:hanging="360"/>
      </w:pPr>
      <w:rPr>
        <w:rFonts w:ascii="Times New Roman" w:eastAsia="Times New Roman" w:hAnsi="Times New Roman" w:cs="Times New Roman" w:hint="default"/>
      </w:rPr>
    </w:lvl>
    <w:lvl w:ilvl="1" w:tplc="340A0003" w:tentative="1">
      <w:start w:val="1"/>
      <w:numFmt w:val="bullet"/>
      <w:lvlText w:val="o"/>
      <w:lvlJc w:val="left"/>
      <w:pPr>
        <w:ind w:left="1006" w:hanging="360"/>
      </w:pPr>
      <w:rPr>
        <w:rFonts w:ascii="Courier New" w:hAnsi="Courier New" w:cs="Courier New" w:hint="default"/>
      </w:rPr>
    </w:lvl>
    <w:lvl w:ilvl="2" w:tplc="340A0005" w:tentative="1">
      <w:start w:val="1"/>
      <w:numFmt w:val="bullet"/>
      <w:lvlText w:val=""/>
      <w:lvlJc w:val="left"/>
      <w:pPr>
        <w:ind w:left="1726" w:hanging="360"/>
      </w:pPr>
      <w:rPr>
        <w:rFonts w:ascii="Wingdings" w:hAnsi="Wingdings" w:hint="default"/>
      </w:rPr>
    </w:lvl>
    <w:lvl w:ilvl="3" w:tplc="340A0001" w:tentative="1">
      <w:start w:val="1"/>
      <w:numFmt w:val="bullet"/>
      <w:lvlText w:val=""/>
      <w:lvlJc w:val="left"/>
      <w:pPr>
        <w:ind w:left="2446" w:hanging="360"/>
      </w:pPr>
      <w:rPr>
        <w:rFonts w:ascii="Symbol" w:hAnsi="Symbol" w:hint="default"/>
      </w:rPr>
    </w:lvl>
    <w:lvl w:ilvl="4" w:tplc="340A0003" w:tentative="1">
      <w:start w:val="1"/>
      <w:numFmt w:val="bullet"/>
      <w:lvlText w:val="o"/>
      <w:lvlJc w:val="left"/>
      <w:pPr>
        <w:ind w:left="3166" w:hanging="360"/>
      </w:pPr>
      <w:rPr>
        <w:rFonts w:ascii="Courier New" w:hAnsi="Courier New" w:cs="Courier New" w:hint="default"/>
      </w:rPr>
    </w:lvl>
    <w:lvl w:ilvl="5" w:tplc="340A0005" w:tentative="1">
      <w:start w:val="1"/>
      <w:numFmt w:val="bullet"/>
      <w:lvlText w:val=""/>
      <w:lvlJc w:val="left"/>
      <w:pPr>
        <w:ind w:left="3886" w:hanging="360"/>
      </w:pPr>
      <w:rPr>
        <w:rFonts w:ascii="Wingdings" w:hAnsi="Wingdings" w:hint="default"/>
      </w:rPr>
    </w:lvl>
    <w:lvl w:ilvl="6" w:tplc="340A0001" w:tentative="1">
      <w:start w:val="1"/>
      <w:numFmt w:val="bullet"/>
      <w:lvlText w:val=""/>
      <w:lvlJc w:val="left"/>
      <w:pPr>
        <w:ind w:left="4606" w:hanging="360"/>
      </w:pPr>
      <w:rPr>
        <w:rFonts w:ascii="Symbol" w:hAnsi="Symbol" w:hint="default"/>
      </w:rPr>
    </w:lvl>
    <w:lvl w:ilvl="7" w:tplc="340A0003" w:tentative="1">
      <w:start w:val="1"/>
      <w:numFmt w:val="bullet"/>
      <w:lvlText w:val="o"/>
      <w:lvlJc w:val="left"/>
      <w:pPr>
        <w:ind w:left="5326" w:hanging="360"/>
      </w:pPr>
      <w:rPr>
        <w:rFonts w:ascii="Courier New" w:hAnsi="Courier New" w:cs="Courier New" w:hint="default"/>
      </w:rPr>
    </w:lvl>
    <w:lvl w:ilvl="8" w:tplc="340A0005" w:tentative="1">
      <w:start w:val="1"/>
      <w:numFmt w:val="bullet"/>
      <w:lvlText w:val=""/>
      <w:lvlJc w:val="left"/>
      <w:pPr>
        <w:ind w:left="6046" w:hanging="360"/>
      </w:pPr>
      <w:rPr>
        <w:rFonts w:ascii="Wingdings" w:hAnsi="Wingdings" w:hint="default"/>
      </w:rPr>
    </w:lvl>
  </w:abstractNum>
  <w:abstractNum w:abstractNumId="12" w15:restartNumberingAfterBreak="0">
    <w:nsid w:val="4D5C0E18"/>
    <w:multiLevelType w:val="hybridMultilevel"/>
    <w:tmpl w:val="9320C95A"/>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18D45D1"/>
    <w:multiLevelType w:val="hybridMultilevel"/>
    <w:tmpl w:val="61461002"/>
    <w:lvl w:ilvl="0" w:tplc="BF3CDAD2">
      <w:start w:val="1"/>
      <w:numFmt w:val="bullet"/>
      <w:lvlText w:val="-"/>
      <w:lvlJc w:val="left"/>
      <w:pPr>
        <w:ind w:left="286" w:hanging="360"/>
      </w:pPr>
      <w:rPr>
        <w:rFonts w:ascii="Times New Roman" w:eastAsia="Times New Roman" w:hAnsi="Times New Roman" w:cs="Times New Roman" w:hint="default"/>
      </w:rPr>
    </w:lvl>
    <w:lvl w:ilvl="1" w:tplc="340A0003" w:tentative="1">
      <w:start w:val="1"/>
      <w:numFmt w:val="bullet"/>
      <w:lvlText w:val="o"/>
      <w:lvlJc w:val="left"/>
      <w:pPr>
        <w:ind w:left="1006" w:hanging="360"/>
      </w:pPr>
      <w:rPr>
        <w:rFonts w:ascii="Courier New" w:hAnsi="Courier New" w:cs="Courier New" w:hint="default"/>
      </w:rPr>
    </w:lvl>
    <w:lvl w:ilvl="2" w:tplc="340A0005" w:tentative="1">
      <w:start w:val="1"/>
      <w:numFmt w:val="bullet"/>
      <w:lvlText w:val=""/>
      <w:lvlJc w:val="left"/>
      <w:pPr>
        <w:ind w:left="1726" w:hanging="360"/>
      </w:pPr>
      <w:rPr>
        <w:rFonts w:ascii="Wingdings" w:hAnsi="Wingdings" w:hint="default"/>
      </w:rPr>
    </w:lvl>
    <w:lvl w:ilvl="3" w:tplc="340A0001" w:tentative="1">
      <w:start w:val="1"/>
      <w:numFmt w:val="bullet"/>
      <w:lvlText w:val=""/>
      <w:lvlJc w:val="left"/>
      <w:pPr>
        <w:ind w:left="2446" w:hanging="360"/>
      </w:pPr>
      <w:rPr>
        <w:rFonts w:ascii="Symbol" w:hAnsi="Symbol" w:hint="default"/>
      </w:rPr>
    </w:lvl>
    <w:lvl w:ilvl="4" w:tplc="340A0003" w:tentative="1">
      <w:start w:val="1"/>
      <w:numFmt w:val="bullet"/>
      <w:lvlText w:val="o"/>
      <w:lvlJc w:val="left"/>
      <w:pPr>
        <w:ind w:left="3166" w:hanging="360"/>
      </w:pPr>
      <w:rPr>
        <w:rFonts w:ascii="Courier New" w:hAnsi="Courier New" w:cs="Courier New" w:hint="default"/>
      </w:rPr>
    </w:lvl>
    <w:lvl w:ilvl="5" w:tplc="340A0005" w:tentative="1">
      <w:start w:val="1"/>
      <w:numFmt w:val="bullet"/>
      <w:lvlText w:val=""/>
      <w:lvlJc w:val="left"/>
      <w:pPr>
        <w:ind w:left="3886" w:hanging="360"/>
      </w:pPr>
      <w:rPr>
        <w:rFonts w:ascii="Wingdings" w:hAnsi="Wingdings" w:hint="default"/>
      </w:rPr>
    </w:lvl>
    <w:lvl w:ilvl="6" w:tplc="340A0001" w:tentative="1">
      <w:start w:val="1"/>
      <w:numFmt w:val="bullet"/>
      <w:lvlText w:val=""/>
      <w:lvlJc w:val="left"/>
      <w:pPr>
        <w:ind w:left="4606" w:hanging="360"/>
      </w:pPr>
      <w:rPr>
        <w:rFonts w:ascii="Symbol" w:hAnsi="Symbol" w:hint="default"/>
      </w:rPr>
    </w:lvl>
    <w:lvl w:ilvl="7" w:tplc="340A0003" w:tentative="1">
      <w:start w:val="1"/>
      <w:numFmt w:val="bullet"/>
      <w:lvlText w:val="o"/>
      <w:lvlJc w:val="left"/>
      <w:pPr>
        <w:ind w:left="5326" w:hanging="360"/>
      </w:pPr>
      <w:rPr>
        <w:rFonts w:ascii="Courier New" w:hAnsi="Courier New" w:cs="Courier New" w:hint="default"/>
      </w:rPr>
    </w:lvl>
    <w:lvl w:ilvl="8" w:tplc="340A0005" w:tentative="1">
      <w:start w:val="1"/>
      <w:numFmt w:val="bullet"/>
      <w:lvlText w:val=""/>
      <w:lvlJc w:val="left"/>
      <w:pPr>
        <w:ind w:left="6046" w:hanging="360"/>
      </w:pPr>
      <w:rPr>
        <w:rFonts w:ascii="Wingdings" w:hAnsi="Wingdings" w:hint="default"/>
      </w:rPr>
    </w:lvl>
  </w:abstractNum>
  <w:abstractNum w:abstractNumId="14" w15:restartNumberingAfterBreak="0">
    <w:nsid w:val="594157F7"/>
    <w:multiLevelType w:val="hybridMultilevel"/>
    <w:tmpl w:val="21ECBADA"/>
    <w:lvl w:ilvl="0" w:tplc="C6F688FE">
      <w:start w:val="41"/>
      <w:numFmt w:val="bullet"/>
      <w:lvlText w:val="-"/>
      <w:lvlJc w:val="left"/>
      <w:pPr>
        <w:ind w:left="286" w:hanging="360"/>
      </w:pPr>
      <w:rPr>
        <w:rFonts w:ascii="Times New Roman" w:eastAsia="Times New Roman" w:hAnsi="Times New Roman" w:cs="Times New Roman" w:hint="default"/>
      </w:rPr>
    </w:lvl>
    <w:lvl w:ilvl="1" w:tplc="340A0003" w:tentative="1">
      <w:start w:val="1"/>
      <w:numFmt w:val="bullet"/>
      <w:lvlText w:val="o"/>
      <w:lvlJc w:val="left"/>
      <w:pPr>
        <w:ind w:left="1006" w:hanging="360"/>
      </w:pPr>
      <w:rPr>
        <w:rFonts w:ascii="Courier New" w:hAnsi="Courier New" w:cs="Courier New" w:hint="default"/>
      </w:rPr>
    </w:lvl>
    <w:lvl w:ilvl="2" w:tplc="340A0005" w:tentative="1">
      <w:start w:val="1"/>
      <w:numFmt w:val="bullet"/>
      <w:lvlText w:val=""/>
      <w:lvlJc w:val="left"/>
      <w:pPr>
        <w:ind w:left="1726" w:hanging="360"/>
      </w:pPr>
      <w:rPr>
        <w:rFonts w:ascii="Wingdings" w:hAnsi="Wingdings" w:hint="default"/>
      </w:rPr>
    </w:lvl>
    <w:lvl w:ilvl="3" w:tplc="340A0001" w:tentative="1">
      <w:start w:val="1"/>
      <w:numFmt w:val="bullet"/>
      <w:lvlText w:val=""/>
      <w:lvlJc w:val="left"/>
      <w:pPr>
        <w:ind w:left="2446" w:hanging="360"/>
      </w:pPr>
      <w:rPr>
        <w:rFonts w:ascii="Symbol" w:hAnsi="Symbol" w:hint="default"/>
      </w:rPr>
    </w:lvl>
    <w:lvl w:ilvl="4" w:tplc="340A0003" w:tentative="1">
      <w:start w:val="1"/>
      <w:numFmt w:val="bullet"/>
      <w:lvlText w:val="o"/>
      <w:lvlJc w:val="left"/>
      <w:pPr>
        <w:ind w:left="3166" w:hanging="360"/>
      </w:pPr>
      <w:rPr>
        <w:rFonts w:ascii="Courier New" w:hAnsi="Courier New" w:cs="Courier New" w:hint="default"/>
      </w:rPr>
    </w:lvl>
    <w:lvl w:ilvl="5" w:tplc="340A0005" w:tentative="1">
      <w:start w:val="1"/>
      <w:numFmt w:val="bullet"/>
      <w:lvlText w:val=""/>
      <w:lvlJc w:val="left"/>
      <w:pPr>
        <w:ind w:left="3886" w:hanging="360"/>
      </w:pPr>
      <w:rPr>
        <w:rFonts w:ascii="Wingdings" w:hAnsi="Wingdings" w:hint="default"/>
      </w:rPr>
    </w:lvl>
    <w:lvl w:ilvl="6" w:tplc="340A0001" w:tentative="1">
      <w:start w:val="1"/>
      <w:numFmt w:val="bullet"/>
      <w:lvlText w:val=""/>
      <w:lvlJc w:val="left"/>
      <w:pPr>
        <w:ind w:left="4606" w:hanging="360"/>
      </w:pPr>
      <w:rPr>
        <w:rFonts w:ascii="Symbol" w:hAnsi="Symbol" w:hint="default"/>
      </w:rPr>
    </w:lvl>
    <w:lvl w:ilvl="7" w:tplc="340A0003" w:tentative="1">
      <w:start w:val="1"/>
      <w:numFmt w:val="bullet"/>
      <w:lvlText w:val="o"/>
      <w:lvlJc w:val="left"/>
      <w:pPr>
        <w:ind w:left="5326" w:hanging="360"/>
      </w:pPr>
      <w:rPr>
        <w:rFonts w:ascii="Courier New" w:hAnsi="Courier New" w:cs="Courier New" w:hint="default"/>
      </w:rPr>
    </w:lvl>
    <w:lvl w:ilvl="8" w:tplc="340A0005" w:tentative="1">
      <w:start w:val="1"/>
      <w:numFmt w:val="bullet"/>
      <w:lvlText w:val=""/>
      <w:lvlJc w:val="left"/>
      <w:pPr>
        <w:ind w:left="6046" w:hanging="360"/>
      </w:pPr>
      <w:rPr>
        <w:rFonts w:ascii="Wingdings" w:hAnsi="Wingdings" w:hint="default"/>
      </w:rPr>
    </w:lvl>
  </w:abstractNum>
  <w:abstractNum w:abstractNumId="15" w15:restartNumberingAfterBreak="0">
    <w:nsid w:val="746A57ED"/>
    <w:multiLevelType w:val="hybridMultilevel"/>
    <w:tmpl w:val="34B08ACC"/>
    <w:lvl w:ilvl="0" w:tplc="1B88BA58">
      <w:start w:val="1"/>
      <w:numFmt w:val="decimal"/>
      <w:lvlText w:val="%1."/>
      <w:lvlJc w:val="left"/>
      <w:pPr>
        <w:ind w:left="286" w:hanging="360"/>
      </w:pPr>
      <w:rPr>
        <w:rFonts w:hint="default"/>
      </w:rPr>
    </w:lvl>
    <w:lvl w:ilvl="1" w:tplc="340A0019" w:tentative="1">
      <w:start w:val="1"/>
      <w:numFmt w:val="lowerLetter"/>
      <w:lvlText w:val="%2."/>
      <w:lvlJc w:val="left"/>
      <w:pPr>
        <w:ind w:left="1006" w:hanging="360"/>
      </w:pPr>
    </w:lvl>
    <w:lvl w:ilvl="2" w:tplc="340A001B" w:tentative="1">
      <w:start w:val="1"/>
      <w:numFmt w:val="lowerRoman"/>
      <w:lvlText w:val="%3."/>
      <w:lvlJc w:val="right"/>
      <w:pPr>
        <w:ind w:left="1726" w:hanging="180"/>
      </w:pPr>
    </w:lvl>
    <w:lvl w:ilvl="3" w:tplc="340A000F" w:tentative="1">
      <w:start w:val="1"/>
      <w:numFmt w:val="decimal"/>
      <w:lvlText w:val="%4."/>
      <w:lvlJc w:val="left"/>
      <w:pPr>
        <w:ind w:left="2446" w:hanging="360"/>
      </w:pPr>
    </w:lvl>
    <w:lvl w:ilvl="4" w:tplc="340A0019" w:tentative="1">
      <w:start w:val="1"/>
      <w:numFmt w:val="lowerLetter"/>
      <w:lvlText w:val="%5."/>
      <w:lvlJc w:val="left"/>
      <w:pPr>
        <w:ind w:left="3166" w:hanging="360"/>
      </w:pPr>
    </w:lvl>
    <w:lvl w:ilvl="5" w:tplc="340A001B" w:tentative="1">
      <w:start w:val="1"/>
      <w:numFmt w:val="lowerRoman"/>
      <w:lvlText w:val="%6."/>
      <w:lvlJc w:val="right"/>
      <w:pPr>
        <w:ind w:left="3886" w:hanging="180"/>
      </w:pPr>
    </w:lvl>
    <w:lvl w:ilvl="6" w:tplc="340A000F" w:tentative="1">
      <w:start w:val="1"/>
      <w:numFmt w:val="decimal"/>
      <w:lvlText w:val="%7."/>
      <w:lvlJc w:val="left"/>
      <w:pPr>
        <w:ind w:left="4606" w:hanging="360"/>
      </w:pPr>
    </w:lvl>
    <w:lvl w:ilvl="7" w:tplc="340A0019" w:tentative="1">
      <w:start w:val="1"/>
      <w:numFmt w:val="lowerLetter"/>
      <w:lvlText w:val="%8."/>
      <w:lvlJc w:val="left"/>
      <w:pPr>
        <w:ind w:left="5326" w:hanging="360"/>
      </w:pPr>
    </w:lvl>
    <w:lvl w:ilvl="8" w:tplc="340A001B" w:tentative="1">
      <w:start w:val="1"/>
      <w:numFmt w:val="lowerRoman"/>
      <w:lvlText w:val="%9."/>
      <w:lvlJc w:val="right"/>
      <w:pPr>
        <w:ind w:left="6046" w:hanging="180"/>
      </w:pPr>
    </w:lvl>
  </w:abstractNum>
  <w:abstractNum w:abstractNumId="16" w15:restartNumberingAfterBreak="0">
    <w:nsid w:val="77C76628"/>
    <w:multiLevelType w:val="hybridMultilevel"/>
    <w:tmpl w:val="6966D9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B094BBE"/>
    <w:multiLevelType w:val="hybridMultilevel"/>
    <w:tmpl w:val="C4E4F3B4"/>
    <w:lvl w:ilvl="0" w:tplc="B8D20212">
      <w:start w:val="5"/>
      <w:numFmt w:val="bullet"/>
      <w:lvlText w:val="-"/>
      <w:lvlJc w:val="left"/>
      <w:pPr>
        <w:ind w:left="286" w:hanging="360"/>
      </w:pPr>
      <w:rPr>
        <w:rFonts w:ascii="Times New Roman" w:eastAsia="Times New Roman" w:hAnsi="Times New Roman" w:cs="Times New Roman" w:hint="default"/>
      </w:rPr>
    </w:lvl>
    <w:lvl w:ilvl="1" w:tplc="340A0003" w:tentative="1">
      <w:start w:val="1"/>
      <w:numFmt w:val="bullet"/>
      <w:lvlText w:val="o"/>
      <w:lvlJc w:val="left"/>
      <w:pPr>
        <w:ind w:left="1006" w:hanging="360"/>
      </w:pPr>
      <w:rPr>
        <w:rFonts w:ascii="Courier New" w:hAnsi="Courier New" w:cs="Courier New" w:hint="default"/>
      </w:rPr>
    </w:lvl>
    <w:lvl w:ilvl="2" w:tplc="340A0005" w:tentative="1">
      <w:start w:val="1"/>
      <w:numFmt w:val="bullet"/>
      <w:lvlText w:val=""/>
      <w:lvlJc w:val="left"/>
      <w:pPr>
        <w:ind w:left="1726" w:hanging="360"/>
      </w:pPr>
      <w:rPr>
        <w:rFonts w:ascii="Wingdings" w:hAnsi="Wingdings" w:hint="default"/>
      </w:rPr>
    </w:lvl>
    <w:lvl w:ilvl="3" w:tplc="340A0001" w:tentative="1">
      <w:start w:val="1"/>
      <w:numFmt w:val="bullet"/>
      <w:lvlText w:val=""/>
      <w:lvlJc w:val="left"/>
      <w:pPr>
        <w:ind w:left="2446" w:hanging="360"/>
      </w:pPr>
      <w:rPr>
        <w:rFonts w:ascii="Symbol" w:hAnsi="Symbol" w:hint="default"/>
      </w:rPr>
    </w:lvl>
    <w:lvl w:ilvl="4" w:tplc="340A0003" w:tentative="1">
      <w:start w:val="1"/>
      <w:numFmt w:val="bullet"/>
      <w:lvlText w:val="o"/>
      <w:lvlJc w:val="left"/>
      <w:pPr>
        <w:ind w:left="3166" w:hanging="360"/>
      </w:pPr>
      <w:rPr>
        <w:rFonts w:ascii="Courier New" w:hAnsi="Courier New" w:cs="Courier New" w:hint="default"/>
      </w:rPr>
    </w:lvl>
    <w:lvl w:ilvl="5" w:tplc="340A0005" w:tentative="1">
      <w:start w:val="1"/>
      <w:numFmt w:val="bullet"/>
      <w:lvlText w:val=""/>
      <w:lvlJc w:val="left"/>
      <w:pPr>
        <w:ind w:left="3886" w:hanging="360"/>
      </w:pPr>
      <w:rPr>
        <w:rFonts w:ascii="Wingdings" w:hAnsi="Wingdings" w:hint="default"/>
      </w:rPr>
    </w:lvl>
    <w:lvl w:ilvl="6" w:tplc="340A0001" w:tentative="1">
      <w:start w:val="1"/>
      <w:numFmt w:val="bullet"/>
      <w:lvlText w:val=""/>
      <w:lvlJc w:val="left"/>
      <w:pPr>
        <w:ind w:left="4606" w:hanging="360"/>
      </w:pPr>
      <w:rPr>
        <w:rFonts w:ascii="Symbol" w:hAnsi="Symbol" w:hint="default"/>
      </w:rPr>
    </w:lvl>
    <w:lvl w:ilvl="7" w:tplc="340A0003" w:tentative="1">
      <w:start w:val="1"/>
      <w:numFmt w:val="bullet"/>
      <w:lvlText w:val="o"/>
      <w:lvlJc w:val="left"/>
      <w:pPr>
        <w:ind w:left="5326" w:hanging="360"/>
      </w:pPr>
      <w:rPr>
        <w:rFonts w:ascii="Courier New" w:hAnsi="Courier New" w:cs="Courier New" w:hint="default"/>
      </w:rPr>
    </w:lvl>
    <w:lvl w:ilvl="8" w:tplc="340A0005" w:tentative="1">
      <w:start w:val="1"/>
      <w:numFmt w:val="bullet"/>
      <w:lvlText w:val=""/>
      <w:lvlJc w:val="left"/>
      <w:pPr>
        <w:ind w:left="6046" w:hanging="360"/>
      </w:pPr>
      <w:rPr>
        <w:rFonts w:ascii="Wingdings" w:hAnsi="Wingdings" w:hint="default"/>
      </w:rPr>
    </w:lvl>
  </w:abstractNum>
  <w:abstractNum w:abstractNumId="18" w15:restartNumberingAfterBreak="0">
    <w:nsid w:val="7E027404"/>
    <w:multiLevelType w:val="hybridMultilevel"/>
    <w:tmpl w:val="A1EA39AC"/>
    <w:lvl w:ilvl="0" w:tplc="FA7C278C">
      <w:start w:val="1"/>
      <w:numFmt w:val="bullet"/>
      <w:lvlText w:val="-"/>
      <w:lvlJc w:val="left"/>
      <w:pPr>
        <w:ind w:left="1080" w:hanging="360"/>
      </w:pPr>
      <w:rPr>
        <w:rFonts w:ascii="Times New Roman" w:eastAsia="Times New Roman"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8"/>
  </w:num>
  <w:num w:numId="4">
    <w:abstractNumId w:val="6"/>
  </w:num>
  <w:num w:numId="5">
    <w:abstractNumId w:val="1"/>
  </w:num>
  <w:num w:numId="6">
    <w:abstractNumId w:val="15"/>
  </w:num>
  <w:num w:numId="7">
    <w:abstractNumId w:val="14"/>
  </w:num>
  <w:num w:numId="8">
    <w:abstractNumId w:val="5"/>
  </w:num>
  <w:num w:numId="9">
    <w:abstractNumId w:val="8"/>
  </w:num>
  <w:num w:numId="10">
    <w:abstractNumId w:val="2"/>
  </w:num>
  <w:num w:numId="11">
    <w:abstractNumId w:val="3"/>
  </w:num>
  <w:num w:numId="12">
    <w:abstractNumId w:val="11"/>
  </w:num>
  <w:num w:numId="13">
    <w:abstractNumId w:val="17"/>
  </w:num>
  <w:num w:numId="14">
    <w:abstractNumId w:val="7"/>
  </w:num>
  <w:num w:numId="15">
    <w:abstractNumId w:val="10"/>
  </w:num>
  <w:num w:numId="16">
    <w:abstractNumId w:val="13"/>
  </w:num>
  <w:num w:numId="17">
    <w:abstractNumId w:val="0"/>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0"/>
  <w:activeWritingStyle w:appName="MSWord" w:lang="en-GB" w:vendorID="64" w:dllVersion="6" w:nlCheck="1" w:checkStyle="0"/>
  <w:activeWritingStyle w:appName="MSWord" w:lang="fi-FI" w:vendorID="64" w:dllVersion="6" w:nlCheck="1" w:checkStyle="0"/>
  <w:activeWritingStyle w:appName="MSWord" w:lang="es-CL"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s-CL" w:vendorID="64" w:dllVersion="131078" w:nlCheck="1" w:checkStyle="1"/>
  <w:activeWritingStyle w:appName="MSWord" w:lang="es-ES_tradnl" w:vendorID="64" w:dllVersion="131078" w:nlCheck="1" w:checkStyle="1"/>
  <w:activeWritingStyle w:appName="MSWord" w:lang="en-GB" w:vendorID="64" w:dllVersion="131078" w:nlCheck="1" w:checkStyle="0"/>
  <w:activeWritingStyle w:appName="MSWord" w:lang="es-ES" w:vendorID="64" w:dllVersion="131078" w:nlCheck="1" w:checkStyle="1"/>
  <w:activeWritingStyle w:appName="MSWord" w:lang="fi-FI"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19"/>
    <w:rsid w:val="000002FC"/>
    <w:rsid w:val="00003A2B"/>
    <w:rsid w:val="00005735"/>
    <w:rsid w:val="0001189A"/>
    <w:rsid w:val="0001470E"/>
    <w:rsid w:val="000161BB"/>
    <w:rsid w:val="000167E5"/>
    <w:rsid w:val="00016DC1"/>
    <w:rsid w:val="0001702B"/>
    <w:rsid w:val="00017B25"/>
    <w:rsid w:val="00020336"/>
    <w:rsid w:val="00020C89"/>
    <w:rsid w:val="000218E8"/>
    <w:rsid w:val="000221F4"/>
    <w:rsid w:val="00025BD3"/>
    <w:rsid w:val="000269E8"/>
    <w:rsid w:val="00027ED8"/>
    <w:rsid w:val="00034127"/>
    <w:rsid w:val="00034133"/>
    <w:rsid w:val="00037072"/>
    <w:rsid w:val="00041057"/>
    <w:rsid w:val="00041E2E"/>
    <w:rsid w:val="00046279"/>
    <w:rsid w:val="00046643"/>
    <w:rsid w:val="0004736A"/>
    <w:rsid w:val="00052B38"/>
    <w:rsid w:val="00057983"/>
    <w:rsid w:val="00057F17"/>
    <w:rsid w:val="00060383"/>
    <w:rsid w:val="000621EB"/>
    <w:rsid w:val="00063800"/>
    <w:rsid w:val="00065567"/>
    <w:rsid w:val="000658B1"/>
    <w:rsid w:val="000677D9"/>
    <w:rsid w:val="000679FC"/>
    <w:rsid w:val="00072C6A"/>
    <w:rsid w:val="000761E7"/>
    <w:rsid w:val="000776DB"/>
    <w:rsid w:val="00077A92"/>
    <w:rsid w:val="00080B48"/>
    <w:rsid w:val="00080C41"/>
    <w:rsid w:val="000812BF"/>
    <w:rsid w:val="00081844"/>
    <w:rsid w:val="0008265D"/>
    <w:rsid w:val="0008324A"/>
    <w:rsid w:val="000903D9"/>
    <w:rsid w:val="0009312B"/>
    <w:rsid w:val="00094C11"/>
    <w:rsid w:val="0009556D"/>
    <w:rsid w:val="00095D57"/>
    <w:rsid w:val="0009660D"/>
    <w:rsid w:val="00096745"/>
    <w:rsid w:val="0009720A"/>
    <w:rsid w:val="00097B35"/>
    <w:rsid w:val="000A11F4"/>
    <w:rsid w:val="000A28B8"/>
    <w:rsid w:val="000A2ABD"/>
    <w:rsid w:val="000A2D58"/>
    <w:rsid w:val="000A403C"/>
    <w:rsid w:val="000A467E"/>
    <w:rsid w:val="000A47F2"/>
    <w:rsid w:val="000A5930"/>
    <w:rsid w:val="000A66AA"/>
    <w:rsid w:val="000B022A"/>
    <w:rsid w:val="000B0B32"/>
    <w:rsid w:val="000B1CAD"/>
    <w:rsid w:val="000B2F6D"/>
    <w:rsid w:val="000B646B"/>
    <w:rsid w:val="000B6F4F"/>
    <w:rsid w:val="000C01EB"/>
    <w:rsid w:val="000C059E"/>
    <w:rsid w:val="000C1DAC"/>
    <w:rsid w:val="000C3388"/>
    <w:rsid w:val="000C3863"/>
    <w:rsid w:val="000C7D8D"/>
    <w:rsid w:val="000D085E"/>
    <w:rsid w:val="000D3146"/>
    <w:rsid w:val="000D4256"/>
    <w:rsid w:val="000D54C4"/>
    <w:rsid w:val="000D66A7"/>
    <w:rsid w:val="000D6AD1"/>
    <w:rsid w:val="000D76C4"/>
    <w:rsid w:val="000E01C8"/>
    <w:rsid w:val="000E0573"/>
    <w:rsid w:val="000E0A40"/>
    <w:rsid w:val="000E1E6D"/>
    <w:rsid w:val="000E2674"/>
    <w:rsid w:val="000E28F0"/>
    <w:rsid w:val="000E2C51"/>
    <w:rsid w:val="000E3509"/>
    <w:rsid w:val="000E442E"/>
    <w:rsid w:val="000E47DA"/>
    <w:rsid w:val="000E4B82"/>
    <w:rsid w:val="000E52D8"/>
    <w:rsid w:val="000E5577"/>
    <w:rsid w:val="000E5607"/>
    <w:rsid w:val="000E7034"/>
    <w:rsid w:val="000F07C2"/>
    <w:rsid w:val="000F1D90"/>
    <w:rsid w:val="000F554B"/>
    <w:rsid w:val="000F6984"/>
    <w:rsid w:val="000F72F1"/>
    <w:rsid w:val="00100BED"/>
    <w:rsid w:val="00101F61"/>
    <w:rsid w:val="00102897"/>
    <w:rsid w:val="0010491A"/>
    <w:rsid w:val="00107B8D"/>
    <w:rsid w:val="00111216"/>
    <w:rsid w:val="00113525"/>
    <w:rsid w:val="0011476F"/>
    <w:rsid w:val="00115D7E"/>
    <w:rsid w:val="00116331"/>
    <w:rsid w:val="001179FD"/>
    <w:rsid w:val="00121892"/>
    <w:rsid w:val="00121A46"/>
    <w:rsid w:val="001221D0"/>
    <w:rsid w:val="001225E2"/>
    <w:rsid w:val="00122886"/>
    <w:rsid w:val="001231CA"/>
    <w:rsid w:val="00123807"/>
    <w:rsid w:val="00126779"/>
    <w:rsid w:val="00126A12"/>
    <w:rsid w:val="0013016E"/>
    <w:rsid w:val="00130268"/>
    <w:rsid w:val="00133990"/>
    <w:rsid w:val="00134E12"/>
    <w:rsid w:val="001351D6"/>
    <w:rsid w:val="00136780"/>
    <w:rsid w:val="00136C0E"/>
    <w:rsid w:val="00141353"/>
    <w:rsid w:val="00141B5D"/>
    <w:rsid w:val="00144C4D"/>
    <w:rsid w:val="0014646E"/>
    <w:rsid w:val="00154121"/>
    <w:rsid w:val="00155C1C"/>
    <w:rsid w:val="0015691D"/>
    <w:rsid w:val="00160481"/>
    <w:rsid w:val="0016060A"/>
    <w:rsid w:val="001628E4"/>
    <w:rsid w:val="00162B1E"/>
    <w:rsid w:val="00162CA1"/>
    <w:rsid w:val="00166FC4"/>
    <w:rsid w:val="00170CC9"/>
    <w:rsid w:val="00172392"/>
    <w:rsid w:val="00172705"/>
    <w:rsid w:val="00172D28"/>
    <w:rsid w:val="00173612"/>
    <w:rsid w:val="001740D7"/>
    <w:rsid w:val="001763B5"/>
    <w:rsid w:val="001764BC"/>
    <w:rsid w:val="00176896"/>
    <w:rsid w:val="00176E1B"/>
    <w:rsid w:val="0018108D"/>
    <w:rsid w:val="001812D1"/>
    <w:rsid w:val="00182099"/>
    <w:rsid w:val="00185ED4"/>
    <w:rsid w:val="00187E26"/>
    <w:rsid w:val="00187F7E"/>
    <w:rsid w:val="001904D4"/>
    <w:rsid w:val="00190CA1"/>
    <w:rsid w:val="00190E1F"/>
    <w:rsid w:val="00193C27"/>
    <w:rsid w:val="00193CF3"/>
    <w:rsid w:val="00194F17"/>
    <w:rsid w:val="00195088"/>
    <w:rsid w:val="001A0C32"/>
    <w:rsid w:val="001A1B5E"/>
    <w:rsid w:val="001A40CD"/>
    <w:rsid w:val="001A50E2"/>
    <w:rsid w:val="001A563D"/>
    <w:rsid w:val="001B1BA8"/>
    <w:rsid w:val="001B34B1"/>
    <w:rsid w:val="001B4DD0"/>
    <w:rsid w:val="001B5AED"/>
    <w:rsid w:val="001B69EC"/>
    <w:rsid w:val="001B6C00"/>
    <w:rsid w:val="001B7614"/>
    <w:rsid w:val="001B7634"/>
    <w:rsid w:val="001C2961"/>
    <w:rsid w:val="001C2C00"/>
    <w:rsid w:val="001C2C01"/>
    <w:rsid w:val="001C6385"/>
    <w:rsid w:val="001C6EA5"/>
    <w:rsid w:val="001C745A"/>
    <w:rsid w:val="001C7E74"/>
    <w:rsid w:val="001D1116"/>
    <w:rsid w:val="001D1D95"/>
    <w:rsid w:val="001D21DD"/>
    <w:rsid w:val="001D3052"/>
    <w:rsid w:val="001D32FB"/>
    <w:rsid w:val="001D3920"/>
    <w:rsid w:val="001D74C6"/>
    <w:rsid w:val="001D7DDB"/>
    <w:rsid w:val="001E03E9"/>
    <w:rsid w:val="001E132B"/>
    <w:rsid w:val="001E26E7"/>
    <w:rsid w:val="001E5756"/>
    <w:rsid w:val="001E746E"/>
    <w:rsid w:val="001F0E6E"/>
    <w:rsid w:val="001F1E99"/>
    <w:rsid w:val="001F3CEE"/>
    <w:rsid w:val="001F437C"/>
    <w:rsid w:val="001F62B3"/>
    <w:rsid w:val="001F704A"/>
    <w:rsid w:val="00201B51"/>
    <w:rsid w:val="00203BB7"/>
    <w:rsid w:val="0020576C"/>
    <w:rsid w:val="00210D6B"/>
    <w:rsid w:val="00210F50"/>
    <w:rsid w:val="0021119C"/>
    <w:rsid w:val="00211C13"/>
    <w:rsid w:val="00212579"/>
    <w:rsid w:val="00212C8E"/>
    <w:rsid w:val="00213813"/>
    <w:rsid w:val="00215AEF"/>
    <w:rsid w:val="00216B51"/>
    <w:rsid w:val="00216FBF"/>
    <w:rsid w:val="002210D8"/>
    <w:rsid w:val="002216AB"/>
    <w:rsid w:val="00221706"/>
    <w:rsid w:val="00222217"/>
    <w:rsid w:val="00222286"/>
    <w:rsid w:val="002224F6"/>
    <w:rsid w:val="00223BDC"/>
    <w:rsid w:val="002249E6"/>
    <w:rsid w:val="00225289"/>
    <w:rsid w:val="002257CB"/>
    <w:rsid w:val="00225A9F"/>
    <w:rsid w:val="00230009"/>
    <w:rsid w:val="002304AA"/>
    <w:rsid w:val="00230BD9"/>
    <w:rsid w:val="00234E8F"/>
    <w:rsid w:val="0023679C"/>
    <w:rsid w:val="00241693"/>
    <w:rsid w:val="002433A8"/>
    <w:rsid w:val="002464FD"/>
    <w:rsid w:val="00246558"/>
    <w:rsid w:val="0024770F"/>
    <w:rsid w:val="002502EC"/>
    <w:rsid w:val="00250A3C"/>
    <w:rsid w:val="00250C71"/>
    <w:rsid w:val="0025269B"/>
    <w:rsid w:val="00253D4D"/>
    <w:rsid w:val="00254427"/>
    <w:rsid w:val="00256397"/>
    <w:rsid w:val="002602F1"/>
    <w:rsid w:val="00260510"/>
    <w:rsid w:val="0026089A"/>
    <w:rsid w:val="002624BC"/>
    <w:rsid w:val="00263771"/>
    <w:rsid w:val="0026483F"/>
    <w:rsid w:val="002654D4"/>
    <w:rsid w:val="0026552E"/>
    <w:rsid w:val="00266317"/>
    <w:rsid w:val="00271BBD"/>
    <w:rsid w:val="0027234D"/>
    <w:rsid w:val="0027341D"/>
    <w:rsid w:val="002737B3"/>
    <w:rsid w:val="00273D25"/>
    <w:rsid w:val="002751B9"/>
    <w:rsid w:val="00280509"/>
    <w:rsid w:val="00280E81"/>
    <w:rsid w:val="00281A36"/>
    <w:rsid w:val="00283164"/>
    <w:rsid w:val="0028382F"/>
    <w:rsid w:val="002859D1"/>
    <w:rsid w:val="002870E8"/>
    <w:rsid w:val="00287564"/>
    <w:rsid w:val="00293FDF"/>
    <w:rsid w:val="002941D1"/>
    <w:rsid w:val="00294F47"/>
    <w:rsid w:val="00295F6C"/>
    <w:rsid w:val="00297B5D"/>
    <w:rsid w:val="00297D09"/>
    <w:rsid w:val="002A0AB5"/>
    <w:rsid w:val="002A0D7C"/>
    <w:rsid w:val="002A1584"/>
    <w:rsid w:val="002A177B"/>
    <w:rsid w:val="002A22AC"/>
    <w:rsid w:val="002A2DB3"/>
    <w:rsid w:val="002A78AD"/>
    <w:rsid w:val="002A7D6B"/>
    <w:rsid w:val="002B06FA"/>
    <w:rsid w:val="002B0A73"/>
    <w:rsid w:val="002B1787"/>
    <w:rsid w:val="002B6164"/>
    <w:rsid w:val="002C1CF4"/>
    <w:rsid w:val="002C1D22"/>
    <w:rsid w:val="002C1FA6"/>
    <w:rsid w:val="002C2D4B"/>
    <w:rsid w:val="002C3626"/>
    <w:rsid w:val="002C6F6C"/>
    <w:rsid w:val="002D0EF1"/>
    <w:rsid w:val="002D12DE"/>
    <w:rsid w:val="002D1B9A"/>
    <w:rsid w:val="002D1E8A"/>
    <w:rsid w:val="002D2138"/>
    <w:rsid w:val="002D424C"/>
    <w:rsid w:val="002D5820"/>
    <w:rsid w:val="002D5EE7"/>
    <w:rsid w:val="002D7783"/>
    <w:rsid w:val="002D7E9B"/>
    <w:rsid w:val="002E1687"/>
    <w:rsid w:val="002E1F2F"/>
    <w:rsid w:val="002E2FE3"/>
    <w:rsid w:val="002E4775"/>
    <w:rsid w:val="002E635A"/>
    <w:rsid w:val="002E6F5A"/>
    <w:rsid w:val="002E6F87"/>
    <w:rsid w:val="002F2D9A"/>
    <w:rsid w:val="002F38EC"/>
    <w:rsid w:val="002F452C"/>
    <w:rsid w:val="002F5941"/>
    <w:rsid w:val="002F6136"/>
    <w:rsid w:val="002F6DAB"/>
    <w:rsid w:val="002F739B"/>
    <w:rsid w:val="002F752D"/>
    <w:rsid w:val="002F7B50"/>
    <w:rsid w:val="00300E5C"/>
    <w:rsid w:val="00300FBB"/>
    <w:rsid w:val="00301F65"/>
    <w:rsid w:val="0030231D"/>
    <w:rsid w:val="00302DA4"/>
    <w:rsid w:val="00304913"/>
    <w:rsid w:val="00305A70"/>
    <w:rsid w:val="00310D49"/>
    <w:rsid w:val="00311439"/>
    <w:rsid w:val="00313B42"/>
    <w:rsid w:val="00316113"/>
    <w:rsid w:val="00316401"/>
    <w:rsid w:val="0031646B"/>
    <w:rsid w:val="00316A8A"/>
    <w:rsid w:val="00317539"/>
    <w:rsid w:val="003217DF"/>
    <w:rsid w:val="003243E0"/>
    <w:rsid w:val="003308EE"/>
    <w:rsid w:val="00331EB3"/>
    <w:rsid w:val="00333265"/>
    <w:rsid w:val="00333330"/>
    <w:rsid w:val="00333ED5"/>
    <w:rsid w:val="00335E1B"/>
    <w:rsid w:val="00336B61"/>
    <w:rsid w:val="00336E56"/>
    <w:rsid w:val="003416D8"/>
    <w:rsid w:val="00342800"/>
    <w:rsid w:val="00342AD0"/>
    <w:rsid w:val="00343BC2"/>
    <w:rsid w:val="00344747"/>
    <w:rsid w:val="00344DB0"/>
    <w:rsid w:val="00347CFB"/>
    <w:rsid w:val="0035054D"/>
    <w:rsid w:val="0035147E"/>
    <w:rsid w:val="00353BA6"/>
    <w:rsid w:val="0035482F"/>
    <w:rsid w:val="003570A6"/>
    <w:rsid w:val="00361DBA"/>
    <w:rsid w:val="00361EC6"/>
    <w:rsid w:val="003628B3"/>
    <w:rsid w:val="003630F8"/>
    <w:rsid w:val="0036376E"/>
    <w:rsid w:val="00364273"/>
    <w:rsid w:val="003648E8"/>
    <w:rsid w:val="00364904"/>
    <w:rsid w:val="003655E9"/>
    <w:rsid w:val="003659D5"/>
    <w:rsid w:val="0036625F"/>
    <w:rsid w:val="003703DD"/>
    <w:rsid w:val="00373A73"/>
    <w:rsid w:val="00373D54"/>
    <w:rsid w:val="00375282"/>
    <w:rsid w:val="003755F7"/>
    <w:rsid w:val="003778FD"/>
    <w:rsid w:val="00380281"/>
    <w:rsid w:val="0038087E"/>
    <w:rsid w:val="00381BD8"/>
    <w:rsid w:val="00384D6C"/>
    <w:rsid w:val="00385281"/>
    <w:rsid w:val="0038570F"/>
    <w:rsid w:val="00387A7F"/>
    <w:rsid w:val="00390955"/>
    <w:rsid w:val="003925C5"/>
    <w:rsid w:val="00392A78"/>
    <w:rsid w:val="00393028"/>
    <w:rsid w:val="00393634"/>
    <w:rsid w:val="0039523E"/>
    <w:rsid w:val="003A0CBA"/>
    <w:rsid w:val="003A11E1"/>
    <w:rsid w:val="003A2A78"/>
    <w:rsid w:val="003A39A1"/>
    <w:rsid w:val="003A4C29"/>
    <w:rsid w:val="003A77D6"/>
    <w:rsid w:val="003B0873"/>
    <w:rsid w:val="003B1FCD"/>
    <w:rsid w:val="003B362D"/>
    <w:rsid w:val="003B442C"/>
    <w:rsid w:val="003B48D1"/>
    <w:rsid w:val="003B4C23"/>
    <w:rsid w:val="003B5E40"/>
    <w:rsid w:val="003B607A"/>
    <w:rsid w:val="003B6760"/>
    <w:rsid w:val="003C1799"/>
    <w:rsid w:val="003C2117"/>
    <w:rsid w:val="003C24D9"/>
    <w:rsid w:val="003C3B54"/>
    <w:rsid w:val="003C5C34"/>
    <w:rsid w:val="003C6651"/>
    <w:rsid w:val="003C7D15"/>
    <w:rsid w:val="003D0C17"/>
    <w:rsid w:val="003D1F19"/>
    <w:rsid w:val="003D2782"/>
    <w:rsid w:val="003D370E"/>
    <w:rsid w:val="003D39BD"/>
    <w:rsid w:val="003D4A69"/>
    <w:rsid w:val="003D4B84"/>
    <w:rsid w:val="003D5E82"/>
    <w:rsid w:val="003E0ED1"/>
    <w:rsid w:val="003E1B9A"/>
    <w:rsid w:val="003E1C48"/>
    <w:rsid w:val="003E2DD4"/>
    <w:rsid w:val="003E31C3"/>
    <w:rsid w:val="003F07B8"/>
    <w:rsid w:val="003F0E30"/>
    <w:rsid w:val="003F2073"/>
    <w:rsid w:val="003F352C"/>
    <w:rsid w:val="003F4614"/>
    <w:rsid w:val="003F6B18"/>
    <w:rsid w:val="003F7184"/>
    <w:rsid w:val="0040019C"/>
    <w:rsid w:val="0040070D"/>
    <w:rsid w:val="0040134E"/>
    <w:rsid w:val="0040145A"/>
    <w:rsid w:val="00412896"/>
    <w:rsid w:val="004129C2"/>
    <w:rsid w:val="00414712"/>
    <w:rsid w:val="004169E7"/>
    <w:rsid w:val="00420BA1"/>
    <w:rsid w:val="00424385"/>
    <w:rsid w:val="00425E54"/>
    <w:rsid w:val="00425FC8"/>
    <w:rsid w:val="0042665D"/>
    <w:rsid w:val="00427419"/>
    <w:rsid w:val="00431AAF"/>
    <w:rsid w:val="00432B0A"/>
    <w:rsid w:val="0043346B"/>
    <w:rsid w:val="00433D52"/>
    <w:rsid w:val="0043499B"/>
    <w:rsid w:val="00434A1E"/>
    <w:rsid w:val="0043501E"/>
    <w:rsid w:val="00435145"/>
    <w:rsid w:val="00436128"/>
    <w:rsid w:val="00440DFB"/>
    <w:rsid w:val="004417A6"/>
    <w:rsid w:val="0044237B"/>
    <w:rsid w:val="00442DD4"/>
    <w:rsid w:val="0044543F"/>
    <w:rsid w:val="00450D68"/>
    <w:rsid w:val="00453B4B"/>
    <w:rsid w:val="00455F4F"/>
    <w:rsid w:val="0045681F"/>
    <w:rsid w:val="0045709C"/>
    <w:rsid w:val="00460463"/>
    <w:rsid w:val="00461598"/>
    <w:rsid w:val="00462401"/>
    <w:rsid w:val="004650F1"/>
    <w:rsid w:val="00466BF7"/>
    <w:rsid w:val="00467409"/>
    <w:rsid w:val="00467C9C"/>
    <w:rsid w:val="00472F8F"/>
    <w:rsid w:val="004748B3"/>
    <w:rsid w:val="004770C0"/>
    <w:rsid w:val="00477648"/>
    <w:rsid w:val="00482CD1"/>
    <w:rsid w:val="00485556"/>
    <w:rsid w:val="0048564E"/>
    <w:rsid w:val="00486EEE"/>
    <w:rsid w:val="0049054F"/>
    <w:rsid w:val="00490649"/>
    <w:rsid w:val="00490DED"/>
    <w:rsid w:val="00491656"/>
    <w:rsid w:val="00491AF7"/>
    <w:rsid w:val="00491ED6"/>
    <w:rsid w:val="00493675"/>
    <w:rsid w:val="00497935"/>
    <w:rsid w:val="004A0737"/>
    <w:rsid w:val="004A129B"/>
    <w:rsid w:val="004A477A"/>
    <w:rsid w:val="004B2B62"/>
    <w:rsid w:val="004B3183"/>
    <w:rsid w:val="004B34AB"/>
    <w:rsid w:val="004B361D"/>
    <w:rsid w:val="004B5B91"/>
    <w:rsid w:val="004B5D9C"/>
    <w:rsid w:val="004B6E74"/>
    <w:rsid w:val="004B7537"/>
    <w:rsid w:val="004C10E6"/>
    <w:rsid w:val="004C153C"/>
    <w:rsid w:val="004C320F"/>
    <w:rsid w:val="004C3316"/>
    <w:rsid w:val="004C58C9"/>
    <w:rsid w:val="004C76AB"/>
    <w:rsid w:val="004D032C"/>
    <w:rsid w:val="004D1156"/>
    <w:rsid w:val="004D1773"/>
    <w:rsid w:val="004D1F4E"/>
    <w:rsid w:val="004D1FD9"/>
    <w:rsid w:val="004D3090"/>
    <w:rsid w:val="004D5166"/>
    <w:rsid w:val="004D5770"/>
    <w:rsid w:val="004D5D66"/>
    <w:rsid w:val="004D6163"/>
    <w:rsid w:val="004D616C"/>
    <w:rsid w:val="004D73E4"/>
    <w:rsid w:val="004D7513"/>
    <w:rsid w:val="004E0108"/>
    <w:rsid w:val="004E09A3"/>
    <w:rsid w:val="004E205A"/>
    <w:rsid w:val="004E269F"/>
    <w:rsid w:val="004E2C45"/>
    <w:rsid w:val="004E2E92"/>
    <w:rsid w:val="004E4722"/>
    <w:rsid w:val="004E7511"/>
    <w:rsid w:val="004E7CA4"/>
    <w:rsid w:val="004F1DD1"/>
    <w:rsid w:val="004F2AE7"/>
    <w:rsid w:val="004F38A7"/>
    <w:rsid w:val="004F39A4"/>
    <w:rsid w:val="004F4400"/>
    <w:rsid w:val="004F4536"/>
    <w:rsid w:val="004F4540"/>
    <w:rsid w:val="004F4557"/>
    <w:rsid w:val="004F5910"/>
    <w:rsid w:val="004F62BB"/>
    <w:rsid w:val="004F667C"/>
    <w:rsid w:val="004F6A06"/>
    <w:rsid w:val="004F6B59"/>
    <w:rsid w:val="004F6D6C"/>
    <w:rsid w:val="004F6E89"/>
    <w:rsid w:val="004F7485"/>
    <w:rsid w:val="005016A3"/>
    <w:rsid w:val="00502221"/>
    <w:rsid w:val="00503862"/>
    <w:rsid w:val="00515B12"/>
    <w:rsid w:val="00515EB2"/>
    <w:rsid w:val="00516E4A"/>
    <w:rsid w:val="00516EA0"/>
    <w:rsid w:val="00517358"/>
    <w:rsid w:val="005246D4"/>
    <w:rsid w:val="00527ACC"/>
    <w:rsid w:val="00531B34"/>
    <w:rsid w:val="00532697"/>
    <w:rsid w:val="0053391F"/>
    <w:rsid w:val="00533AA9"/>
    <w:rsid w:val="005352AE"/>
    <w:rsid w:val="00537316"/>
    <w:rsid w:val="00537DA2"/>
    <w:rsid w:val="00537ED8"/>
    <w:rsid w:val="00541607"/>
    <w:rsid w:val="005431F5"/>
    <w:rsid w:val="00545BDA"/>
    <w:rsid w:val="00546652"/>
    <w:rsid w:val="00550BAD"/>
    <w:rsid w:val="00551DC3"/>
    <w:rsid w:val="00552053"/>
    <w:rsid w:val="0055294C"/>
    <w:rsid w:val="0055446F"/>
    <w:rsid w:val="00554622"/>
    <w:rsid w:val="005561B5"/>
    <w:rsid w:val="00556883"/>
    <w:rsid w:val="00556E60"/>
    <w:rsid w:val="00556EDF"/>
    <w:rsid w:val="00561AD0"/>
    <w:rsid w:val="0056228E"/>
    <w:rsid w:val="0056455C"/>
    <w:rsid w:val="00564F7C"/>
    <w:rsid w:val="00565201"/>
    <w:rsid w:val="00565A37"/>
    <w:rsid w:val="0056643B"/>
    <w:rsid w:val="0056647C"/>
    <w:rsid w:val="0057031C"/>
    <w:rsid w:val="00571073"/>
    <w:rsid w:val="00571796"/>
    <w:rsid w:val="0057390C"/>
    <w:rsid w:val="00574808"/>
    <w:rsid w:val="005765DF"/>
    <w:rsid w:val="00577157"/>
    <w:rsid w:val="00580B73"/>
    <w:rsid w:val="00580BC2"/>
    <w:rsid w:val="00583840"/>
    <w:rsid w:val="00585F69"/>
    <w:rsid w:val="005870EC"/>
    <w:rsid w:val="0058711D"/>
    <w:rsid w:val="00587A14"/>
    <w:rsid w:val="00590334"/>
    <w:rsid w:val="00590990"/>
    <w:rsid w:val="00590E08"/>
    <w:rsid w:val="005911BC"/>
    <w:rsid w:val="00593C81"/>
    <w:rsid w:val="00595FD2"/>
    <w:rsid w:val="00596767"/>
    <w:rsid w:val="005A1494"/>
    <w:rsid w:val="005A2417"/>
    <w:rsid w:val="005A322E"/>
    <w:rsid w:val="005A5B6C"/>
    <w:rsid w:val="005A7138"/>
    <w:rsid w:val="005A7C51"/>
    <w:rsid w:val="005B14A7"/>
    <w:rsid w:val="005B159E"/>
    <w:rsid w:val="005B1D3A"/>
    <w:rsid w:val="005B207F"/>
    <w:rsid w:val="005B23E6"/>
    <w:rsid w:val="005B326A"/>
    <w:rsid w:val="005B3CED"/>
    <w:rsid w:val="005B5569"/>
    <w:rsid w:val="005B787A"/>
    <w:rsid w:val="005C07D6"/>
    <w:rsid w:val="005C0D84"/>
    <w:rsid w:val="005C12CF"/>
    <w:rsid w:val="005C18A9"/>
    <w:rsid w:val="005C1FBC"/>
    <w:rsid w:val="005C3915"/>
    <w:rsid w:val="005C7205"/>
    <w:rsid w:val="005C79C2"/>
    <w:rsid w:val="005C7FC6"/>
    <w:rsid w:val="005D0EC0"/>
    <w:rsid w:val="005D14F2"/>
    <w:rsid w:val="005D2301"/>
    <w:rsid w:val="005D2526"/>
    <w:rsid w:val="005D4E8B"/>
    <w:rsid w:val="005D55C0"/>
    <w:rsid w:val="005E067D"/>
    <w:rsid w:val="005E23F1"/>
    <w:rsid w:val="005E2FE3"/>
    <w:rsid w:val="005E3BEB"/>
    <w:rsid w:val="005E5E77"/>
    <w:rsid w:val="005E5EC4"/>
    <w:rsid w:val="005F01C8"/>
    <w:rsid w:val="005F1909"/>
    <w:rsid w:val="005F2FF7"/>
    <w:rsid w:val="005F3736"/>
    <w:rsid w:val="005F40FE"/>
    <w:rsid w:val="005F52A3"/>
    <w:rsid w:val="005F554B"/>
    <w:rsid w:val="005F721E"/>
    <w:rsid w:val="005F7834"/>
    <w:rsid w:val="00600D91"/>
    <w:rsid w:val="006019FF"/>
    <w:rsid w:val="0060268D"/>
    <w:rsid w:val="0060479A"/>
    <w:rsid w:val="006103FA"/>
    <w:rsid w:val="00610ECA"/>
    <w:rsid w:val="0061207B"/>
    <w:rsid w:val="0061225C"/>
    <w:rsid w:val="0061391A"/>
    <w:rsid w:val="00614024"/>
    <w:rsid w:val="00614380"/>
    <w:rsid w:val="006143E2"/>
    <w:rsid w:val="00615DBF"/>
    <w:rsid w:val="006164F3"/>
    <w:rsid w:val="00617E27"/>
    <w:rsid w:val="00620576"/>
    <w:rsid w:val="0062090F"/>
    <w:rsid w:val="00620D59"/>
    <w:rsid w:val="006219C2"/>
    <w:rsid w:val="00621BE3"/>
    <w:rsid w:val="00621BE8"/>
    <w:rsid w:val="006220C7"/>
    <w:rsid w:val="006239DE"/>
    <w:rsid w:val="00624D99"/>
    <w:rsid w:val="00626829"/>
    <w:rsid w:val="00631E71"/>
    <w:rsid w:val="006379A9"/>
    <w:rsid w:val="00642481"/>
    <w:rsid w:val="00643025"/>
    <w:rsid w:val="00643AF7"/>
    <w:rsid w:val="00643E1D"/>
    <w:rsid w:val="00644691"/>
    <w:rsid w:val="00646158"/>
    <w:rsid w:val="00647B77"/>
    <w:rsid w:val="006502DC"/>
    <w:rsid w:val="00650A81"/>
    <w:rsid w:val="00650D94"/>
    <w:rsid w:val="00653C80"/>
    <w:rsid w:val="00654A66"/>
    <w:rsid w:val="00655443"/>
    <w:rsid w:val="00656889"/>
    <w:rsid w:val="00657081"/>
    <w:rsid w:val="006579ED"/>
    <w:rsid w:val="00661D9D"/>
    <w:rsid w:val="0066209A"/>
    <w:rsid w:val="00663463"/>
    <w:rsid w:val="00671B57"/>
    <w:rsid w:val="00676080"/>
    <w:rsid w:val="00677B88"/>
    <w:rsid w:val="00680663"/>
    <w:rsid w:val="00680737"/>
    <w:rsid w:val="006813B4"/>
    <w:rsid w:val="00681569"/>
    <w:rsid w:val="00681893"/>
    <w:rsid w:val="006826CF"/>
    <w:rsid w:val="00685E4A"/>
    <w:rsid w:val="006863F8"/>
    <w:rsid w:val="00690A4B"/>
    <w:rsid w:val="00691FB7"/>
    <w:rsid w:val="0069230D"/>
    <w:rsid w:val="00695675"/>
    <w:rsid w:val="00695E4C"/>
    <w:rsid w:val="00696169"/>
    <w:rsid w:val="006A0313"/>
    <w:rsid w:val="006A1861"/>
    <w:rsid w:val="006A3227"/>
    <w:rsid w:val="006A4E73"/>
    <w:rsid w:val="006A64D6"/>
    <w:rsid w:val="006A6924"/>
    <w:rsid w:val="006A6F07"/>
    <w:rsid w:val="006B01E2"/>
    <w:rsid w:val="006B1935"/>
    <w:rsid w:val="006B1BAA"/>
    <w:rsid w:val="006B46DE"/>
    <w:rsid w:val="006B4DDC"/>
    <w:rsid w:val="006B740B"/>
    <w:rsid w:val="006C317F"/>
    <w:rsid w:val="006C4273"/>
    <w:rsid w:val="006C6061"/>
    <w:rsid w:val="006C62B7"/>
    <w:rsid w:val="006C6675"/>
    <w:rsid w:val="006D05C8"/>
    <w:rsid w:val="006D0CDF"/>
    <w:rsid w:val="006D2308"/>
    <w:rsid w:val="006D576C"/>
    <w:rsid w:val="006D64A8"/>
    <w:rsid w:val="006E13ED"/>
    <w:rsid w:val="006E19A0"/>
    <w:rsid w:val="006E1ACC"/>
    <w:rsid w:val="006E6A8D"/>
    <w:rsid w:val="006E761E"/>
    <w:rsid w:val="006E7F17"/>
    <w:rsid w:val="006F12B8"/>
    <w:rsid w:val="006F2E70"/>
    <w:rsid w:val="006F328E"/>
    <w:rsid w:val="006F385B"/>
    <w:rsid w:val="006F7447"/>
    <w:rsid w:val="00702E82"/>
    <w:rsid w:val="007036E3"/>
    <w:rsid w:val="007047BA"/>
    <w:rsid w:val="0070680B"/>
    <w:rsid w:val="007114FD"/>
    <w:rsid w:val="0071213D"/>
    <w:rsid w:val="00713DAC"/>
    <w:rsid w:val="00713E45"/>
    <w:rsid w:val="00714245"/>
    <w:rsid w:val="00715528"/>
    <w:rsid w:val="007172DF"/>
    <w:rsid w:val="00717DD9"/>
    <w:rsid w:val="00720591"/>
    <w:rsid w:val="007209CE"/>
    <w:rsid w:val="00721527"/>
    <w:rsid w:val="00721DA1"/>
    <w:rsid w:val="00723CD9"/>
    <w:rsid w:val="007262A9"/>
    <w:rsid w:val="007263AB"/>
    <w:rsid w:val="00727C94"/>
    <w:rsid w:val="0073240A"/>
    <w:rsid w:val="00733C13"/>
    <w:rsid w:val="00734850"/>
    <w:rsid w:val="007363F0"/>
    <w:rsid w:val="00736600"/>
    <w:rsid w:val="00736727"/>
    <w:rsid w:val="0073702E"/>
    <w:rsid w:val="00740985"/>
    <w:rsid w:val="00740F67"/>
    <w:rsid w:val="0074105B"/>
    <w:rsid w:val="00741367"/>
    <w:rsid w:val="007416A9"/>
    <w:rsid w:val="00743CC7"/>
    <w:rsid w:val="00744731"/>
    <w:rsid w:val="00746CE9"/>
    <w:rsid w:val="00747566"/>
    <w:rsid w:val="00747E12"/>
    <w:rsid w:val="00750B03"/>
    <w:rsid w:val="00755C42"/>
    <w:rsid w:val="0076294F"/>
    <w:rsid w:val="00762F00"/>
    <w:rsid w:val="00762F0A"/>
    <w:rsid w:val="007637E9"/>
    <w:rsid w:val="0076771B"/>
    <w:rsid w:val="00770B6F"/>
    <w:rsid w:val="00770EAE"/>
    <w:rsid w:val="007734B0"/>
    <w:rsid w:val="00773AA4"/>
    <w:rsid w:val="0077752E"/>
    <w:rsid w:val="007777CB"/>
    <w:rsid w:val="00781255"/>
    <w:rsid w:val="007827FA"/>
    <w:rsid w:val="00783C4A"/>
    <w:rsid w:val="00784626"/>
    <w:rsid w:val="007854E3"/>
    <w:rsid w:val="0078566E"/>
    <w:rsid w:val="0079030B"/>
    <w:rsid w:val="007933FE"/>
    <w:rsid w:val="00794345"/>
    <w:rsid w:val="007943E4"/>
    <w:rsid w:val="00794A22"/>
    <w:rsid w:val="0079502B"/>
    <w:rsid w:val="0079508A"/>
    <w:rsid w:val="00796113"/>
    <w:rsid w:val="007A0014"/>
    <w:rsid w:val="007A212A"/>
    <w:rsid w:val="007A2D94"/>
    <w:rsid w:val="007A6B54"/>
    <w:rsid w:val="007A6D06"/>
    <w:rsid w:val="007A7074"/>
    <w:rsid w:val="007A73EE"/>
    <w:rsid w:val="007A75F9"/>
    <w:rsid w:val="007A773F"/>
    <w:rsid w:val="007B1042"/>
    <w:rsid w:val="007B1266"/>
    <w:rsid w:val="007B1292"/>
    <w:rsid w:val="007B3C4C"/>
    <w:rsid w:val="007B4113"/>
    <w:rsid w:val="007B4E34"/>
    <w:rsid w:val="007B6800"/>
    <w:rsid w:val="007C062A"/>
    <w:rsid w:val="007C072E"/>
    <w:rsid w:val="007C23EA"/>
    <w:rsid w:val="007C337D"/>
    <w:rsid w:val="007C3AA8"/>
    <w:rsid w:val="007C3EA3"/>
    <w:rsid w:val="007C4F64"/>
    <w:rsid w:val="007C6824"/>
    <w:rsid w:val="007D0634"/>
    <w:rsid w:val="007D45DC"/>
    <w:rsid w:val="007D4EFA"/>
    <w:rsid w:val="007D6C60"/>
    <w:rsid w:val="007D7039"/>
    <w:rsid w:val="007E0B4C"/>
    <w:rsid w:val="007E0E66"/>
    <w:rsid w:val="007E40C7"/>
    <w:rsid w:val="007E4CB8"/>
    <w:rsid w:val="007F106C"/>
    <w:rsid w:val="007F3B23"/>
    <w:rsid w:val="007F4266"/>
    <w:rsid w:val="007F4430"/>
    <w:rsid w:val="007F4807"/>
    <w:rsid w:val="007F698C"/>
    <w:rsid w:val="007F7138"/>
    <w:rsid w:val="007F72F0"/>
    <w:rsid w:val="00800452"/>
    <w:rsid w:val="008029B5"/>
    <w:rsid w:val="008038A7"/>
    <w:rsid w:val="00803BA6"/>
    <w:rsid w:val="00804246"/>
    <w:rsid w:val="00804583"/>
    <w:rsid w:val="008052FE"/>
    <w:rsid w:val="008056FD"/>
    <w:rsid w:val="00810324"/>
    <w:rsid w:val="00811133"/>
    <w:rsid w:val="008112D1"/>
    <w:rsid w:val="00811FD6"/>
    <w:rsid w:val="00812652"/>
    <w:rsid w:val="00813FD3"/>
    <w:rsid w:val="00814159"/>
    <w:rsid w:val="008143E2"/>
    <w:rsid w:val="00814500"/>
    <w:rsid w:val="008156DC"/>
    <w:rsid w:val="00815E43"/>
    <w:rsid w:val="00816BB1"/>
    <w:rsid w:val="0082278A"/>
    <w:rsid w:val="0082304E"/>
    <w:rsid w:val="008241AF"/>
    <w:rsid w:val="00825DB5"/>
    <w:rsid w:val="0082609D"/>
    <w:rsid w:val="008329A3"/>
    <w:rsid w:val="00833BA9"/>
    <w:rsid w:val="00834AAB"/>
    <w:rsid w:val="00834D20"/>
    <w:rsid w:val="0083506D"/>
    <w:rsid w:val="00835299"/>
    <w:rsid w:val="00835F28"/>
    <w:rsid w:val="00837072"/>
    <w:rsid w:val="00837A99"/>
    <w:rsid w:val="008408BB"/>
    <w:rsid w:val="00841301"/>
    <w:rsid w:val="008428C0"/>
    <w:rsid w:val="008452E0"/>
    <w:rsid w:val="00847809"/>
    <w:rsid w:val="00847DAA"/>
    <w:rsid w:val="00850C23"/>
    <w:rsid w:val="008533B5"/>
    <w:rsid w:val="008538E2"/>
    <w:rsid w:val="00853EAC"/>
    <w:rsid w:val="00854A20"/>
    <w:rsid w:val="00854D37"/>
    <w:rsid w:val="00854FE4"/>
    <w:rsid w:val="0085656B"/>
    <w:rsid w:val="00856EF9"/>
    <w:rsid w:val="008604C9"/>
    <w:rsid w:val="00860825"/>
    <w:rsid w:val="00864748"/>
    <w:rsid w:val="00867243"/>
    <w:rsid w:val="00870858"/>
    <w:rsid w:val="0087118E"/>
    <w:rsid w:val="00871775"/>
    <w:rsid w:val="00872010"/>
    <w:rsid w:val="0087280D"/>
    <w:rsid w:val="00873B6E"/>
    <w:rsid w:val="008747CD"/>
    <w:rsid w:val="0087494E"/>
    <w:rsid w:val="0087605E"/>
    <w:rsid w:val="00876704"/>
    <w:rsid w:val="00880A46"/>
    <w:rsid w:val="0088131B"/>
    <w:rsid w:val="008825C5"/>
    <w:rsid w:val="008836FE"/>
    <w:rsid w:val="00883C23"/>
    <w:rsid w:val="00885969"/>
    <w:rsid w:val="00887787"/>
    <w:rsid w:val="00887C1E"/>
    <w:rsid w:val="00890B49"/>
    <w:rsid w:val="00891B5C"/>
    <w:rsid w:val="00891FF4"/>
    <w:rsid w:val="0089235C"/>
    <w:rsid w:val="00894C77"/>
    <w:rsid w:val="0089520D"/>
    <w:rsid w:val="00897F74"/>
    <w:rsid w:val="008A0520"/>
    <w:rsid w:val="008A0B3E"/>
    <w:rsid w:val="008A663A"/>
    <w:rsid w:val="008A66C5"/>
    <w:rsid w:val="008A6768"/>
    <w:rsid w:val="008B1A52"/>
    <w:rsid w:val="008B3622"/>
    <w:rsid w:val="008B72AF"/>
    <w:rsid w:val="008C1F0B"/>
    <w:rsid w:val="008C2357"/>
    <w:rsid w:val="008C27B6"/>
    <w:rsid w:val="008C2A0B"/>
    <w:rsid w:val="008C376C"/>
    <w:rsid w:val="008C4D51"/>
    <w:rsid w:val="008C60F9"/>
    <w:rsid w:val="008D0BBF"/>
    <w:rsid w:val="008D23D6"/>
    <w:rsid w:val="008D45D8"/>
    <w:rsid w:val="008D4747"/>
    <w:rsid w:val="008D482A"/>
    <w:rsid w:val="008D51C5"/>
    <w:rsid w:val="008D63FC"/>
    <w:rsid w:val="008E251D"/>
    <w:rsid w:val="008E2822"/>
    <w:rsid w:val="008E2972"/>
    <w:rsid w:val="008E378E"/>
    <w:rsid w:val="008F2479"/>
    <w:rsid w:val="008F26F5"/>
    <w:rsid w:val="008F2E68"/>
    <w:rsid w:val="008F4602"/>
    <w:rsid w:val="008F5A45"/>
    <w:rsid w:val="008F5DF1"/>
    <w:rsid w:val="008F6B87"/>
    <w:rsid w:val="008F6C8C"/>
    <w:rsid w:val="008F7346"/>
    <w:rsid w:val="00900035"/>
    <w:rsid w:val="00900E72"/>
    <w:rsid w:val="009025F3"/>
    <w:rsid w:val="0090274E"/>
    <w:rsid w:val="009028FA"/>
    <w:rsid w:val="00904372"/>
    <w:rsid w:val="009043E7"/>
    <w:rsid w:val="009044A0"/>
    <w:rsid w:val="00906595"/>
    <w:rsid w:val="0090707B"/>
    <w:rsid w:val="009100E9"/>
    <w:rsid w:val="00910556"/>
    <w:rsid w:val="00910DFC"/>
    <w:rsid w:val="00911F37"/>
    <w:rsid w:val="00912C55"/>
    <w:rsid w:val="0091472A"/>
    <w:rsid w:val="0091495C"/>
    <w:rsid w:val="009162D0"/>
    <w:rsid w:val="009166E6"/>
    <w:rsid w:val="00916E3B"/>
    <w:rsid w:val="0092035E"/>
    <w:rsid w:val="00920705"/>
    <w:rsid w:val="00922157"/>
    <w:rsid w:val="00923A9B"/>
    <w:rsid w:val="009243EA"/>
    <w:rsid w:val="0092444D"/>
    <w:rsid w:val="00924543"/>
    <w:rsid w:val="00924614"/>
    <w:rsid w:val="00924B5B"/>
    <w:rsid w:val="00924FBA"/>
    <w:rsid w:val="00925E83"/>
    <w:rsid w:val="009260C5"/>
    <w:rsid w:val="00930ED6"/>
    <w:rsid w:val="00931332"/>
    <w:rsid w:val="00931A70"/>
    <w:rsid w:val="00931E92"/>
    <w:rsid w:val="0093380C"/>
    <w:rsid w:val="00934AFF"/>
    <w:rsid w:val="009351C5"/>
    <w:rsid w:val="00936381"/>
    <w:rsid w:val="00940350"/>
    <w:rsid w:val="00940CF6"/>
    <w:rsid w:val="0094141F"/>
    <w:rsid w:val="009418E6"/>
    <w:rsid w:val="0094287C"/>
    <w:rsid w:val="00943B4C"/>
    <w:rsid w:val="00943FC2"/>
    <w:rsid w:val="009450D7"/>
    <w:rsid w:val="009454F1"/>
    <w:rsid w:val="00945967"/>
    <w:rsid w:val="00945B85"/>
    <w:rsid w:val="00946DF3"/>
    <w:rsid w:val="00952838"/>
    <w:rsid w:val="00953295"/>
    <w:rsid w:val="00954C8E"/>
    <w:rsid w:val="009607A1"/>
    <w:rsid w:val="0096119C"/>
    <w:rsid w:val="0096214D"/>
    <w:rsid w:val="0096218A"/>
    <w:rsid w:val="00964987"/>
    <w:rsid w:val="0096588C"/>
    <w:rsid w:val="00966040"/>
    <w:rsid w:val="00966C8F"/>
    <w:rsid w:val="009675AF"/>
    <w:rsid w:val="00967F0B"/>
    <w:rsid w:val="0097014C"/>
    <w:rsid w:val="0097417C"/>
    <w:rsid w:val="00974A20"/>
    <w:rsid w:val="00977422"/>
    <w:rsid w:val="009801ED"/>
    <w:rsid w:val="00981A49"/>
    <w:rsid w:val="009844E6"/>
    <w:rsid w:val="0098494D"/>
    <w:rsid w:val="009858E5"/>
    <w:rsid w:val="00987867"/>
    <w:rsid w:val="009879BC"/>
    <w:rsid w:val="009917D9"/>
    <w:rsid w:val="00991DB0"/>
    <w:rsid w:val="0099240F"/>
    <w:rsid w:val="00992748"/>
    <w:rsid w:val="00993CAA"/>
    <w:rsid w:val="00994AF3"/>
    <w:rsid w:val="00995764"/>
    <w:rsid w:val="009962D4"/>
    <w:rsid w:val="00997F61"/>
    <w:rsid w:val="009A0A12"/>
    <w:rsid w:val="009A0E85"/>
    <w:rsid w:val="009A1078"/>
    <w:rsid w:val="009A1329"/>
    <w:rsid w:val="009A17F7"/>
    <w:rsid w:val="009A4928"/>
    <w:rsid w:val="009A4E01"/>
    <w:rsid w:val="009B028F"/>
    <w:rsid w:val="009B5585"/>
    <w:rsid w:val="009B615F"/>
    <w:rsid w:val="009B6901"/>
    <w:rsid w:val="009C1209"/>
    <w:rsid w:val="009C26F5"/>
    <w:rsid w:val="009C3B7B"/>
    <w:rsid w:val="009C467A"/>
    <w:rsid w:val="009C520A"/>
    <w:rsid w:val="009C520F"/>
    <w:rsid w:val="009C5CAE"/>
    <w:rsid w:val="009D0FE5"/>
    <w:rsid w:val="009D1D37"/>
    <w:rsid w:val="009D3628"/>
    <w:rsid w:val="009D4D99"/>
    <w:rsid w:val="009D51DC"/>
    <w:rsid w:val="009D5ABA"/>
    <w:rsid w:val="009D6657"/>
    <w:rsid w:val="009E1A48"/>
    <w:rsid w:val="009E2EF9"/>
    <w:rsid w:val="009E5024"/>
    <w:rsid w:val="009F0306"/>
    <w:rsid w:val="009F05AE"/>
    <w:rsid w:val="009F1D08"/>
    <w:rsid w:val="009F4835"/>
    <w:rsid w:val="009F4D2B"/>
    <w:rsid w:val="009F713B"/>
    <w:rsid w:val="009F78EE"/>
    <w:rsid w:val="00A01348"/>
    <w:rsid w:val="00A01C9D"/>
    <w:rsid w:val="00A0426C"/>
    <w:rsid w:val="00A05039"/>
    <w:rsid w:val="00A0534E"/>
    <w:rsid w:val="00A063F6"/>
    <w:rsid w:val="00A06FD9"/>
    <w:rsid w:val="00A07158"/>
    <w:rsid w:val="00A071C0"/>
    <w:rsid w:val="00A07DD9"/>
    <w:rsid w:val="00A10411"/>
    <w:rsid w:val="00A1058E"/>
    <w:rsid w:val="00A11591"/>
    <w:rsid w:val="00A11A67"/>
    <w:rsid w:val="00A11C29"/>
    <w:rsid w:val="00A13F8C"/>
    <w:rsid w:val="00A1411F"/>
    <w:rsid w:val="00A159CE"/>
    <w:rsid w:val="00A16AB5"/>
    <w:rsid w:val="00A17AC4"/>
    <w:rsid w:val="00A202E4"/>
    <w:rsid w:val="00A203E2"/>
    <w:rsid w:val="00A20C4E"/>
    <w:rsid w:val="00A22719"/>
    <w:rsid w:val="00A228E2"/>
    <w:rsid w:val="00A26059"/>
    <w:rsid w:val="00A26496"/>
    <w:rsid w:val="00A30031"/>
    <w:rsid w:val="00A3054D"/>
    <w:rsid w:val="00A308D7"/>
    <w:rsid w:val="00A30C7F"/>
    <w:rsid w:val="00A329CB"/>
    <w:rsid w:val="00A35CF5"/>
    <w:rsid w:val="00A36C24"/>
    <w:rsid w:val="00A37175"/>
    <w:rsid w:val="00A373C8"/>
    <w:rsid w:val="00A374F1"/>
    <w:rsid w:val="00A40C73"/>
    <w:rsid w:val="00A41D9F"/>
    <w:rsid w:val="00A41F93"/>
    <w:rsid w:val="00A423F3"/>
    <w:rsid w:val="00A44628"/>
    <w:rsid w:val="00A44C35"/>
    <w:rsid w:val="00A44E7C"/>
    <w:rsid w:val="00A45D2C"/>
    <w:rsid w:val="00A51E00"/>
    <w:rsid w:val="00A51FDB"/>
    <w:rsid w:val="00A534F0"/>
    <w:rsid w:val="00A53DBA"/>
    <w:rsid w:val="00A5640A"/>
    <w:rsid w:val="00A60C87"/>
    <w:rsid w:val="00A61EE9"/>
    <w:rsid w:val="00A63E07"/>
    <w:rsid w:val="00A66AD6"/>
    <w:rsid w:val="00A731E9"/>
    <w:rsid w:val="00A7426E"/>
    <w:rsid w:val="00A74402"/>
    <w:rsid w:val="00A748F6"/>
    <w:rsid w:val="00A77999"/>
    <w:rsid w:val="00A82107"/>
    <w:rsid w:val="00A8273D"/>
    <w:rsid w:val="00A82A79"/>
    <w:rsid w:val="00A8377C"/>
    <w:rsid w:val="00A94239"/>
    <w:rsid w:val="00A945D6"/>
    <w:rsid w:val="00A94812"/>
    <w:rsid w:val="00A96155"/>
    <w:rsid w:val="00A974DD"/>
    <w:rsid w:val="00AA02AC"/>
    <w:rsid w:val="00AA5B5F"/>
    <w:rsid w:val="00AB0A96"/>
    <w:rsid w:val="00AB0BB2"/>
    <w:rsid w:val="00AB14D7"/>
    <w:rsid w:val="00AB669D"/>
    <w:rsid w:val="00AB6E17"/>
    <w:rsid w:val="00AB7CD4"/>
    <w:rsid w:val="00AC007C"/>
    <w:rsid w:val="00AC3224"/>
    <w:rsid w:val="00AC3CFE"/>
    <w:rsid w:val="00AC7250"/>
    <w:rsid w:val="00AC78C8"/>
    <w:rsid w:val="00AD02A1"/>
    <w:rsid w:val="00AD0D4C"/>
    <w:rsid w:val="00AD4E98"/>
    <w:rsid w:val="00AD61DF"/>
    <w:rsid w:val="00AD61F1"/>
    <w:rsid w:val="00AE0A17"/>
    <w:rsid w:val="00AE229F"/>
    <w:rsid w:val="00AE277E"/>
    <w:rsid w:val="00AE297D"/>
    <w:rsid w:val="00AE324D"/>
    <w:rsid w:val="00AE4703"/>
    <w:rsid w:val="00AE4934"/>
    <w:rsid w:val="00AE63DA"/>
    <w:rsid w:val="00AE671C"/>
    <w:rsid w:val="00AE6CFF"/>
    <w:rsid w:val="00AE789E"/>
    <w:rsid w:val="00AE7BAE"/>
    <w:rsid w:val="00AF11E2"/>
    <w:rsid w:val="00AF1773"/>
    <w:rsid w:val="00AF2B76"/>
    <w:rsid w:val="00AF2B78"/>
    <w:rsid w:val="00AF422E"/>
    <w:rsid w:val="00AF4CAF"/>
    <w:rsid w:val="00AF4EC5"/>
    <w:rsid w:val="00AF5C05"/>
    <w:rsid w:val="00AF648B"/>
    <w:rsid w:val="00AF6AB2"/>
    <w:rsid w:val="00AF6E5F"/>
    <w:rsid w:val="00AF7318"/>
    <w:rsid w:val="00AF77AF"/>
    <w:rsid w:val="00B0247B"/>
    <w:rsid w:val="00B04565"/>
    <w:rsid w:val="00B06F6D"/>
    <w:rsid w:val="00B102DA"/>
    <w:rsid w:val="00B13866"/>
    <w:rsid w:val="00B17075"/>
    <w:rsid w:val="00B174BA"/>
    <w:rsid w:val="00B22055"/>
    <w:rsid w:val="00B26D2A"/>
    <w:rsid w:val="00B27EF3"/>
    <w:rsid w:val="00B306A2"/>
    <w:rsid w:val="00B3347E"/>
    <w:rsid w:val="00B3360B"/>
    <w:rsid w:val="00B34EF4"/>
    <w:rsid w:val="00B3711D"/>
    <w:rsid w:val="00B3717E"/>
    <w:rsid w:val="00B40AB4"/>
    <w:rsid w:val="00B40F6C"/>
    <w:rsid w:val="00B416E2"/>
    <w:rsid w:val="00B4278A"/>
    <w:rsid w:val="00B42A96"/>
    <w:rsid w:val="00B432AF"/>
    <w:rsid w:val="00B446EB"/>
    <w:rsid w:val="00B44DC7"/>
    <w:rsid w:val="00B45CCD"/>
    <w:rsid w:val="00B506F0"/>
    <w:rsid w:val="00B51709"/>
    <w:rsid w:val="00B521DA"/>
    <w:rsid w:val="00B54124"/>
    <w:rsid w:val="00B57748"/>
    <w:rsid w:val="00B60910"/>
    <w:rsid w:val="00B60E7C"/>
    <w:rsid w:val="00B62DDF"/>
    <w:rsid w:val="00B6375C"/>
    <w:rsid w:val="00B63ADF"/>
    <w:rsid w:val="00B64E7C"/>
    <w:rsid w:val="00B662B1"/>
    <w:rsid w:val="00B66C36"/>
    <w:rsid w:val="00B7053F"/>
    <w:rsid w:val="00B716B8"/>
    <w:rsid w:val="00B718C4"/>
    <w:rsid w:val="00B72BBB"/>
    <w:rsid w:val="00B7345E"/>
    <w:rsid w:val="00B75233"/>
    <w:rsid w:val="00B7528E"/>
    <w:rsid w:val="00B76AD8"/>
    <w:rsid w:val="00B7753C"/>
    <w:rsid w:val="00B802F8"/>
    <w:rsid w:val="00B80542"/>
    <w:rsid w:val="00B85772"/>
    <w:rsid w:val="00B85B67"/>
    <w:rsid w:val="00B868F3"/>
    <w:rsid w:val="00B87305"/>
    <w:rsid w:val="00B87F6B"/>
    <w:rsid w:val="00B9245C"/>
    <w:rsid w:val="00B92E37"/>
    <w:rsid w:val="00B95626"/>
    <w:rsid w:val="00B95B2F"/>
    <w:rsid w:val="00B96372"/>
    <w:rsid w:val="00B97A02"/>
    <w:rsid w:val="00BA3CAD"/>
    <w:rsid w:val="00BA507E"/>
    <w:rsid w:val="00BB0459"/>
    <w:rsid w:val="00BB0A71"/>
    <w:rsid w:val="00BB1B38"/>
    <w:rsid w:val="00BB2012"/>
    <w:rsid w:val="00BB2E1B"/>
    <w:rsid w:val="00BB574E"/>
    <w:rsid w:val="00BB5D28"/>
    <w:rsid w:val="00BB5E0C"/>
    <w:rsid w:val="00BB5ED6"/>
    <w:rsid w:val="00BB7861"/>
    <w:rsid w:val="00BC1D9F"/>
    <w:rsid w:val="00BC29F1"/>
    <w:rsid w:val="00BC3805"/>
    <w:rsid w:val="00BC482E"/>
    <w:rsid w:val="00BC4E31"/>
    <w:rsid w:val="00BD2655"/>
    <w:rsid w:val="00BD288D"/>
    <w:rsid w:val="00BD2EAB"/>
    <w:rsid w:val="00BD3FAB"/>
    <w:rsid w:val="00BD48B1"/>
    <w:rsid w:val="00BD5117"/>
    <w:rsid w:val="00BD7921"/>
    <w:rsid w:val="00BE1280"/>
    <w:rsid w:val="00BE1624"/>
    <w:rsid w:val="00BE2E2D"/>
    <w:rsid w:val="00BE32F5"/>
    <w:rsid w:val="00BE373C"/>
    <w:rsid w:val="00BE3A1E"/>
    <w:rsid w:val="00BE56ED"/>
    <w:rsid w:val="00BE5A08"/>
    <w:rsid w:val="00BE5B79"/>
    <w:rsid w:val="00BE7B14"/>
    <w:rsid w:val="00BE7DB5"/>
    <w:rsid w:val="00BF30D0"/>
    <w:rsid w:val="00BF5DFA"/>
    <w:rsid w:val="00BF714B"/>
    <w:rsid w:val="00BF7CCC"/>
    <w:rsid w:val="00C003FC"/>
    <w:rsid w:val="00C01AD2"/>
    <w:rsid w:val="00C01E06"/>
    <w:rsid w:val="00C03FD5"/>
    <w:rsid w:val="00C04599"/>
    <w:rsid w:val="00C04709"/>
    <w:rsid w:val="00C10D21"/>
    <w:rsid w:val="00C111D3"/>
    <w:rsid w:val="00C11B1C"/>
    <w:rsid w:val="00C126D8"/>
    <w:rsid w:val="00C14437"/>
    <w:rsid w:val="00C15791"/>
    <w:rsid w:val="00C1647F"/>
    <w:rsid w:val="00C16EB1"/>
    <w:rsid w:val="00C20133"/>
    <w:rsid w:val="00C21360"/>
    <w:rsid w:val="00C22BDB"/>
    <w:rsid w:val="00C231A5"/>
    <w:rsid w:val="00C25514"/>
    <w:rsid w:val="00C26428"/>
    <w:rsid w:val="00C2716B"/>
    <w:rsid w:val="00C271E3"/>
    <w:rsid w:val="00C30710"/>
    <w:rsid w:val="00C30AAD"/>
    <w:rsid w:val="00C333B0"/>
    <w:rsid w:val="00C35538"/>
    <w:rsid w:val="00C36B57"/>
    <w:rsid w:val="00C378CA"/>
    <w:rsid w:val="00C4091F"/>
    <w:rsid w:val="00C42234"/>
    <w:rsid w:val="00C42986"/>
    <w:rsid w:val="00C42E64"/>
    <w:rsid w:val="00C442C8"/>
    <w:rsid w:val="00C45844"/>
    <w:rsid w:val="00C45CCE"/>
    <w:rsid w:val="00C46942"/>
    <w:rsid w:val="00C46A9B"/>
    <w:rsid w:val="00C46B4D"/>
    <w:rsid w:val="00C4736A"/>
    <w:rsid w:val="00C473A2"/>
    <w:rsid w:val="00C50721"/>
    <w:rsid w:val="00C52843"/>
    <w:rsid w:val="00C535F2"/>
    <w:rsid w:val="00C55185"/>
    <w:rsid w:val="00C55AF7"/>
    <w:rsid w:val="00C56274"/>
    <w:rsid w:val="00C568C9"/>
    <w:rsid w:val="00C620F1"/>
    <w:rsid w:val="00C621D9"/>
    <w:rsid w:val="00C62BEF"/>
    <w:rsid w:val="00C6485B"/>
    <w:rsid w:val="00C64EBE"/>
    <w:rsid w:val="00C65632"/>
    <w:rsid w:val="00C67AC4"/>
    <w:rsid w:val="00C70062"/>
    <w:rsid w:val="00C705B8"/>
    <w:rsid w:val="00C7174A"/>
    <w:rsid w:val="00C71966"/>
    <w:rsid w:val="00C72170"/>
    <w:rsid w:val="00C7220B"/>
    <w:rsid w:val="00C75241"/>
    <w:rsid w:val="00C75D84"/>
    <w:rsid w:val="00C80942"/>
    <w:rsid w:val="00C83403"/>
    <w:rsid w:val="00C85B84"/>
    <w:rsid w:val="00C86716"/>
    <w:rsid w:val="00C875A7"/>
    <w:rsid w:val="00C87B91"/>
    <w:rsid w:val="00C91942"/>
    <w:rsid w:val="00C91B2F"/>
    <w:rsid w:val="00C94E7F"/>
    <w:rsid w:val="00C97151"/>
    <w:rsid w:val="00C972B8"/>
    <w:rsid w:val="00CA299C"/>
    <w:rsid w:val="00CA4EA1"/>
    <w:rsid w:val="00CA4F37"/>
    <w:rsid w:val="00CA53CF"/>
    <w:rsid w:val="00CA7198"/>
    <w:rsid w:val="00CB27E1"/>
    <w:rsid w:val="00CB2DD2"/>
    <w:rsid w:val="00CB3793"/>
    <w:rsid w:val="00CB444C"/>
    <w:rsid w:val="00CB5673"/>
    <w:rsid w:val="00CB785A"/>
    <w:rsid w:val="00CC08F1"/>
    <w:rsid w:val="00CD1F29"/>
    <w:rsid w:val="00CD2392"/>
    <w:rsid w:val="00CD6380"/>
    <w:rsid w:val="00CD78C9"/>
    <w:rsid w:val="00CD7F98"/>
    <w:rsid w:val="00CE129A"/>
    <w:rsid w:val="00CE13F1"/>
    <w:rsid w:val="00CE2653"/>
    <w:rsid w:val="00CE3044"/>
    <w:rsid w:val="00CE4007"/>
    <w:rsid w:val="00CE4008"/>
    <w:rsid w:val="00CE4C39"/>
    <w:rsid w:val="00CE53DA"/>
    <w:rsid w:val="00CE5E0F"/>
    <w:rsid w:val="00CE5F23"/>
    <w:rsid w:val="00CE6057"/>
    <w:rsid w:val="00CF2FB8"/>
    <w:rsid w:val="00CF346A"/>
    <w:rsid w:val="00CF410E"/>
    <w:rsid w:val="00CF54A2"/>
    <w:rsid w:val="00CF7D72"/>
    <w:rsid w:val="00D00598"/>
    <w:rsid w:val="00D0201C"/>
    <w:rsid w:val="00D03EBB"/>
    <w:rsid w:val="00D0455C"/>
    <w:rsid w:val="00D04816"/>
    <w:rsid w:val="00D05171"/>
    <w:rsid w:val="00D060F0"/>
    <w:rsid w:val="00D06316"/>
    <w:rsid w:val="00D072AC"/>
    <w:rsid w:val="00D07C81"/>
    <w:rsid w:val="00D106AF"/>
    <w:rsid w:val="00D112BB"/>
    <w:rsid w:val="00D124C4"/>
    <w:rsid w:val="00D154B7"/>
    <w:rsid w:val="00D15F64"/>
    <w:rsid w:val="00D1610A"/>
    <w:rsid w:val="00D17FC4"/>
    <w:rsid w:val="00D20B77"/>
    <w:rsid w:val="00D20C92"/>
    <w:rsid w:val="00D21395"/>
    <w:rsid w:val="00D21CAD"/>
    <w:rsid w:val="00D22844"/>
    <w:rsid w:val="00D24182"/>
    <w:rsid w:val="00D2451F"/>
    <w:rsid w:val="00D2467E"/>
    <w:rsid w:val="00D26E80"/>
    <w:rsid w:val="00D272F0"/>
    <w:rsid w:val="00D3253C"/>
    <w:rsid w:val="00D340B2"/>
    <w:rsid w:val="00D35E20"/>
    <w:rsid w:val="00D409A1"/>
    <w:rsid w:val="00D44238"/>
    <w:rsid w:val="00D44786"/>
    <w:rsid w:val="00D44E89"/>
    <w:rsid w:val="00D453A4"/>
    <w:rsid w:val="00D45B81"/>
    <w:rsid w:val="00D46660"/>
    <w:rsid w:val="00D466CC"/>
    <w:rsid w:val="00D50AF6"/>
    <w:rsid w:val="00D51452"/>
    <w:rsid w:val="00D53828"/>
    <w:rsid w:val="00D53A94"/>
    <w:rsid w:val="00D5699D"/>
    <w:rsid w:val="00D60056"/>
    <w:rsid w:val="00D60AE3"/>
    <w:rsid w:val="00D63981"/>
    <w:rsid w:val="00D64A5D"/>
    <w:rsid w:val="00D6598D"/>
    <w:rsid w:val="00D663F8"/>
    <w:rsid w:val="00D66D42"/>
    <w:rsid w:val="00D71BFA"/>
    <w:rsid w:val="00D72AD3"/>
    <w:rsid w:val="00D74564"/>
    <w:rsid w:val="00D74B56"/>
    <w:rsid w:val="00D81127"/>
    <w:rsid w:val="00D81CF3"/>
    <w:rsid w:val="00D85326"/>
    <w:rsid w:val="00D853A6"/>
    <w:rsid w:val="00D926F1"/>
    <w:rsid w:val="00D931AD"/>
    <w:rsid w:val="00D938C5"/>
    <w:rsid w:val="00D948F4"/>
    <w:rsid w:val="00D94B14"/>
    <w:rsid w:val="00D95709"/>
    <w:rsid w:val="00D96EFC"/>
    <w:rsid w:val="00DA02F2"/>
    <w:rsid w:val="00DA1ACE"/>
    <w:rsid w:val="00DA25BC"/>
    <w:rsid w:val="00DA3513"/>
    <w:rsid w:val="00DA39A8"/>
    <w:rsid w:val="00DA3C22"/>
    <w:rsid w:val="00DA5574"/>
    <w:rsid w:val="00DA660C"/>
    <w:rsid w:val="00DA76CD"/>
    <w:rsid w:val="00DB2373"/>
    <w:rsid w:val="00DB4204"/>
    <w:rsid w:val="00DB5A4A"/>
    <w:rsid w:val="00DB68F1"/>
    <w:rsid w:val="00DB71BF"/>
    <w:rsid w:val="00DC0209"/>
    <w:rsid w:val="00DC07C4"/>
    <w:rsid w:val="00DC0A7C"/>
    <w:rsid w:val="00DC1FC8"/>
    <w:rsid w:val="00DC3088"/>
    <w:rsid w:val="00DC3B04"/>
    <w:rsid w:val="00DC51A8"/>
    <w:rsid w:val="00DD1BB6"/>
    <w:rsid w:val="00DD43CA"/>
    <w:rsid w:val="00DD61CD"/>
    <w:rsid w:val="00DD6EF2"/>
    <w:rsid w:val="00DD75AB"/>
    <w:rsid w:val="00DD7B00"/>
    <w:rsid w:val="00DE078F"/>
    <w:rsid w:val="00DE1286"/>
    <w:rsid w:val="00DE2DEA"/>
    <w:rsid w:val="00DE3B3E"/>
    <w:rsid w:val="00DE4F47"/>
    <w:rsid w:val="00DE709E"/>
    <w:rsid w:val="00DF3770"/>
    <w:rsid w:val="00DF3ABA"/>
    <w:rsid w:val="00DF586F"/>
    <w:rsid w:val="00DF6747"/>
    <w:rsid w:val="00DF6D30"/>
    <w:rsid w:val="00DF7788"/>
    <w:rsid w:val="00E02AF5"/>
    <w:rsid w:val="00E03C7E"/>
    <w:rsid w:val="00E03ED6"/>
    <w:rsid w:val="00E1031B"/>
    <w:rsid w:val="00E10794"/>
    <w:rsid w:val="00E1323A"/>
    <w:rsid w:val="00E13BBD"/>
    <w:rsid w:val="00E14E17"/>
    <w:rsid w:val="00E1689F"/>
    <w:rsid w:val="00E16ECA"/>
    <w:rsid w:val="00E17660"/>
    <w:rsid w:val="00E17DAE"/>
    <w:rsid w:val="00E2083A"/>
    <w:rsid w:val="00E20BBB"/>
    <w:rsid w:val="00E233EE"/>
    <w:rsid w:val="00E239CD"/>
    <w:rsid w:val="00E243BC"/>
    <w:rsid w:val="00E2459D"/>
    <w:rsid w:val="00E2647A"/>
    <w:rsid w:val="00E26BEA"/>
    <w:rsid w:val="00E26CED"/>
    <w:rsid w:val="00E30DC6"/>
    <w:rsid w:val="00E30F76"/>
    <w:rsid w:val="00E32049"/>
    <w:rsid w:val="00E32829"/>
    <w:rsid w:val="00E33F33"/>
    <w:rsid w:val="00E35233"/>
    <w:rsid w:val="00E35F7F"/>
    <w:rsid w:val="00E36A6D"/>
    <w:rsid w:val="00E401C0"/>
    <w:rsid w:val="00E40C5A"/>
    <w:rsid w:val="00E40E2A"/>
    <w:rsid w:val="00E40EDE"/>
    <w:rsid w:val="00E425F4"/>
    <w:rsid w:val="00E43195"/>
    <w:rsid w:val="00E444E6"/>
    <w:rsid w:val="00E4510A"/>
    <w:rsid w:val="00E46B7D"/>
    <w:rsid w:val="00E46D9E"/>
    <w:rsid w:val="00E46F32"/>
    <w:rsid w:val="00E50E0F"/>
    <w:rsid w:val="00E52202"/>
    <w:rsid w:val="00E53E93"/>
    <w:rsid w:val="00E550F9"/>
    <w:rsid w:val="00E61114"/>
    <w:rsid w:val="00E614B4"/>
    <w:rsid w:val="00E625E3"/>
    <w:rsid w:val="00E63657"/>
    <w:rsid w:val="00E63A31"/>
    <w:rsid w:val="00E649BD"/>
    <w:rsid w:val="00E64AAD"/>
    <w:rsid w:val="00E659B9"/>
    <w:rsid w:val="00E67DC4"/>
    <w:rsid w:val="00E70A8D"/>
    <w:rsid w:val="00E72344"/>
    <w:rsid w:val="00E725D2"/>
    <w:rsid w:val="00E73397"/>
    <w:rsid w:val="00E76D69"/>
    <w:rsid w:val="00E8474F"/>
    <w:rsid w:val="00E91A52"/>
    <w:rsid w:val="00E920DC"/>
    <w:rsid w:val="00E934F0"/>
    <w:rsid w:val="00E938E1"/>
    <w:rsid w:val="00E97C8C"/>
    <w:rsid w:val="00EA19DD"/>
    <w:rsid w:val="00EA2069"/>
    <w:rsid w:val="00EA2595"/>
    <w:rsid w:val="00EA2BC9"/>
    <w:rsid w:val="00EA41BA"/>
    <w:rsid w:val="00EA43DC"/>
    <w:rsid w:val="00EA5671"/>
    <w:rsid w:val="00EA5E82"/>
    <w:rsid w:val="00EA6065"/>
    <w:rsid w:val="00EA75CF"/>
    <w:rsid w:val="00EB058B"/>
    <w:rsid w:val="00EB0AEA"/>
    <w:rsid w:val="00EB0E75"/>
    <w:rsid w:val="00EB3979"/>
    <w:rsid w:val="00EB7E8E"/>
    <w:rsid w:val="00EC0F54"/>
    <w:rsid w:val="00EC226E"/>
    <w:rsid w:val="00EC25B8"/>
    <w:rsid w:val="00EC7E75"/>
    <w:rsid w:val="00ED034D"/>
    <w:rsid w:val="00ED09E5"/>
    <w:rsid w:val="00ED1521"/>
    <w:rsid w:val="00ED1742"/>
    <w:rsid w:val="00ED23F7"/>
    <w:rsid w:val="00ED25F4"/>
    <w:rsid w:val="00ED3D53"/>
    <w:rsid w:val="00ED3FE8"/>
    <w:rsid w:val="00ED6CB5"/>
    <w:rsid w:val="00ED6E3C"/>
    <w:rsid w:val="00ED708C"/>
    <w:rsid w:val="00ED7C43"/>
    <w:rsid w:val="00EE1845"/>
    <w:rsid w:val="00EE1BAB"/>
    <w:rsid w:val="00EE3386"/>
    <w:rsid w:val="00EE3E83"/>
    <w:rsid w:val="00EE41D2"/>
    <w:rsid w:val="00EE48FE"/>
    <w:rsid w:val="00EE5C94"/>
    <w:rsid w:val="00EE6C05"/>
    <w:rsid w:val="00EE71C4"/>
    <w:rsid w:val="00EF098D"/>
    <w:rsid w:val="00EF1E9E"/>
    <w:rsid w:val="00EF2858"/>
    <w:rsid w:val="00EF2883"/>
    <w:rsid w:val="00EF3D40"/>
    <w:rsid w:val="00EF5F0A"/>
    <w:rsid w:val="00EF6AD2"/>
    <w:rsid w:val="00F00674"/>
    <w:rsid w:val="00F01620"/>
    <w:rsid w:val="00F03E11"/>
    <w:rsid w:val="00F04444"/>
    <w:rsid w:val="00F04F36"/>
    <w:rsid w:val="00F06900"/>
    <w:rsid w:val="00F11219"/>
    <w:rsid w:val="00F12BE1"/>
    <w:rsid w:val="00F16340"/>
    <w:rsid w:val="00F176EE"/>
    <w:rsid w:val="00F17F99"/>
    <w:rsid w:val="00F2107F"/>
    <w:rsid w:val="00F211C6"/>
    <w:rsid w:val="00F233F4"/>
    <w:rsid w:val="00F2426C"/>
    <w:rsid w:val="00F24A5A"/>
    <w:rsid w:val="00F24B3F"/>
    <w:rsid w:val="00F25EE3"/>
    <w:rsid w:val="00F26334"/>
    <w:rsid w:val="00F26675"/>
    <w:rsid w:val="00F266FA"/>
    <w:rsid w:val="00F27E79"/>
    <w:rsid w:val="00F302C7"/>
    <w:rsid w:val="00F31948"/>
    <w:rsid w:val="00F36784"/>
    <w:rsid w:val="00F36D50"/>
    <w:rsid w:val="00F37C2F"/>
    <w:rsid w:val="00F42514"/>
    <w:rsid w:val="00F47E8B"/>
    <w:rsid w:val="00F50681"/>
    <w:rsid w:val="00F511F3"/>
    <w:rsid w:val="00F520BF"/>
    <w:rsid w:val="00F52366"/>
    <w:rsid w:val="00F53086"/>
    <w:rsid w:val="00F54710"/>
    <w:rsid w:val="00F55201"/>
    <w:rsid w:val="00F60543"/>
    <w:rsid w:val="00F60775"/>
    <w:rsid w:val="00F61FDC"/>
    <w:rsid w:val="00F62FE0"/>
    <w:rsid w:val="00F636AF"/>
    <w:rsid w:val="00F63DB3"/>
    <w:rsid w:val="00F6502D"/>
    <w:rsid w:val="00F66668"/>
    <w:rsid w:val="00F6757C"/>
    <w:rsid w:val="00F703A2"/>
    <w:rsid w:val="00F71094"/>
    <w:rsid w:val="00F716D5"/>
    <w:rsid w:val="00F71780"/>
    <w:rsid w:val="00F71E02"/>
    <w:rsid w:val="00F72159"/>
    <w:rsid w:val="00F72A4C"/>
    <w:rsid w:val="00F73568"/>
    <w:rsid w:val="00F7366D"/>
    <w:rsid w:val="00F74C6D"/>
    <w:rsid w:val="00F80532"/>
    <w:rsid w:val="00F80A27"/>
    <w:rsid w:val="00F8187B"/>
    <w:rsid w:val="00F837DB"/>
    <w:rsid w:val="00F8426C"/>
    <w:rsid w:val="00F848C8"/>
    <w:rsid w:val="00F85361"/>
    <w:rsid w:val="00F85964"/>
    <w:rsid w:val="00F85EA2"/>
    <w:rsid w:val="00F863CB"/>
    <w:rsid w:val="00F907A4"/>
    <w:rsid w:val="00F913DF"/>
    <w:rsid w:val="00F914CB"/>
    <w:rsid w:val="00F91576"/>
    <w:rsid w:val="00F92084"/>
    <w:rsid w:val="00F9254B"/>
    <w:rsid w:val="00F933D2"/>
    <w:rsid w:val="00F93A29"/>
    <w:rsid w:val="00F95E3F"/>
    <w:rsid w:val="00F97556"/>
    <w:rsid w:val="00F9764E"/>
    <w:rsid w:val="00F97663"/>
    <w:rsid w:val="00FA0208"/>
    <w:rsid w:val="00FA08BF"/>
    <w:rsid w:val="00FA15CE"/>
    <w:rsid w:val="00FA3896"/>
    <w:rsid w:val="00FA3E60"/>
    <w:rsid w:val="00FA5467"/>
    <w:rsid w:val="00FA561A"/>
    <w:rsid w:val="00FB0AC1"/>
    <w:rsid w:val="00FB0FF8"/>
    <w:rsid w:val="00FB13E3"/>
    <w:rsid w:val="00FB1AE4"/>
    <w:rsid w:val="00FB3CE8"/>
    <w:rsid w:val="00FB41A9"/>
    <w:rsid w:val="00FB4DE7"/>
    <w:rsid w:val="00FB53F1"/>
    <w:rsid w:val="00FB649E"/>
    <w:rsid w:val="00FC27B7"/>
    <w:rsid w:val="00FC2BA2"/>
    <w:rsid w:val="00FC61AB"/>
    <w:rsid w:val="00FC7216"/>
    <w:rsid w:val="00FC7D17"/>
    <w:rsid w:val="00FD0826"/>
    <w:rsid w:val="00FD17DD"/>
    <w:rsid w:val="00FD2E68"/>
    <w:rsid w:val="00FD3E1B"/>
    <w:rsid w:val="00FD46E5"/>
    <w:rsid w:val="00FD490C"/>
    <w:rsid w:val="00FD5F84"/>
    <w:rsid w:val="00FD7C05"/>
    <w:rsid w:val="00FE0728"/>
    <w:rsid w:val="00FE3E67"/>
    <w:rsid w:val="00FE4445"/>
    <w:rsid w:val="00FE63C7"/>
    <w:rsid w:val="00FE6EAE"/>
    <w:rsid w:val="00FF3036"/>
    <w:rsid w:val="00FF370D"/>
    <w:rsid w:val="00FF3F20"/>
    <w:rsid w:val="00FF4577"/>
    <w:rsid w:val="00FF6ABC"/>
    <w:rsid w:val="00FF794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C7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3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11219"/>
    <w:pPr>
      <w:widowControl w:val="0"/>
      <w:tabs>
        <w:tab w:val="left" w:pos="-720"/>
      </w:tabs>
      <w:suppressAutoHyphens/>
    </w:pPr>
    <w:rPr>
      <w:rFonts w:ascii="CG Times" w:eastAsia="Times New Roman" w:hAnsi="CG Times" w:cs="Times New Roman"/>
      <w:snapToGrid w:val="0"/>
      <w:szCs w:val="20"/>
      <w:lang w:val="es-ES_tradnl"/>
    </w:rPr>
  </w:style>
  <w:style w:type="character" w:customStyle="1" w:styleId="TextoindependienteCar">
    <w:name w:val="Texto independiente Car"/>
    <w:basedOn w:val="Fuentedeprrafopredeter"/>
    <w:link w:val="Textoindependiente"/>
    <w:rsid w:val="00F11219"/>
    <w:rPr>
      <w:rFonts w:ascii="CG Times" w:eastAsia="Times New Roman" w:hAnsi="CG Times" w:cs="Times New Roman"/>
      <w:snapToGrid w:val="0"/>
      <w:szCs w:val="20"/>
      <w:lang w:val="es-ES_tradnl"/>
    </w:rPr>
  </w:style>
  <w:style w:type="character" w:styleId="Refdenotaalpie">
    <w:name w:val="footnote reference"/>
    <w:aliases w:val="Footnote Reference.SES,Ref. de nota al pie.,Ref,de nota al pie,referencia nota al pie"/>
    <w:basedOn w:val="Fuentedeprrafopredeter"/>
    <w:rsid w:val="00F11219"/>
    <w:rPr>
      <w:vertAlign w:val="superscript"/>
    </w:rPr>
  </w:style>
  <w:style w:type="paragraph" w:styleId="Textonotapie">
    <w:name w:val="footnote text"/>
    <w:aliases w:val="fn,Footnote Text Char,ft,single space,footnote text,Geneva 9,Font: Geneva 9,Boston 10,f,Texto nota pie Car Car Car,Nota a pie/Bibliog,Footnote Text.SES,nota,pie,Texto nota pie2,Fußnotentext Char Char,Fußnotentext Char Char Char Char,Texto"/>
    <w:basedOn w:val="Normal"/>
    <w:link w:val="TextonotapieCar"/>
    <w:rsid w:val="00F11219"/>
    <w:pPr>
      <w:widowControl w:val="0"/>
      <w:spacing w:line="240" w:lineRule="auto"/>
    </w:pPr>
    <w:rPr>
      <w:rFonts w:ascii="Times New Roman" w:eastAsia="Times New Roman" w:hAnsi="Times New Roman" w:cs="Times New Roman"/>
      <w:snapToGrid w:val="0"/>
      <w:sz w:val="20"/>
      <w:szCs w:val="20"/>
      <w:lang w:val="en-US"/>
    </w:rPr>
  </w:style>
  <w:style w:type="character" w:customStyle="1" w:styleId="TextonotapieCar">
    <w:name w:val="Texto nota pie Car"/>
    <w:aliases w:val="fn Car,Footnote Text Char Car,ft Car,single space Car,footnote text Car,Geneva 9 Car,Font: Geneva 9 Car,Boston 10 Car,f Car,Texto nota pie Car Car Car Car,Nota a pie/Bibliog Car,Footnote Text.SES Car,nota Car,pie Car,Texto Car"/>
    <w:basedOn w:val="Fuentedeprrafopredeter"/>
    <w:link w:val="Textonotapie"/>
    <w:semiHidden/>
    <w:rsid w:val="00F11219"/>
    <w:rPr>
      <w:rFonts w:ascii="Times New Roman" w:eastAsia="Times New Roman" w:hAnsi="Times New Roman" w:cs="Times New Roman"/>
      <w:snapToGrid w:val="0"/>
      <w:sz w:val="20"/>
      <w:szCs w:val="20"/>
      <w:lang w:val="en-US"/>
    </w:rPr>
  </w:style>
  <w:style w:type="character" w:styleId="Refdecomentario">
    <w:name w:val="annotation reference"/>
    <w:uiPriority w:val="99"/>
    <w:unhideWhenUsed/>
    <w:rsid w:val="0056228E"/>
    <w:rPr>
      <w:sz w:val="16"/>
      <w:szCs w:val="16"/>
    </w:rPr>
  </w:style>
  <w:style w:type="paragraph" w:styleId="Textocomentario">
    <w:name w:val="annotation text"/>
    <w:basedOn w:val="Normal"/>
    <w:link w:val="TextocomentarioCar"/>
    <w:unhideWhenUsed/>
    <w:rsid w:val="0056228E"/>
    <w:pPr>
      <w:spacing w:after="20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rsid w:val="0056228E"/>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6228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28E"/>
    <w:rPr>
      <w:rFonts w:ascii="Segoe UI" w:hAnsi="Segoe UI" w:cs="Segoe UI"/>
      <w:sz w:val="18"/>
      <w:szCs w:val="18"/>
    </w:rPr>
  </w:style>
  <w:style w:type="paragraph" w:styleId="Encabezado">
    <w:name w:val="header"/>
    <w:basedOn w:val="Normal"/>
    <w:link w:val="EncabezadoCar"/>
    <w:uiPriority w:val="99"/>
    <w:unhideWhenUsed/>
    <w:rsid w:val="0056228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6228E"/>
  </w:style>
  <w:style w:type="paragraph" w:styleId="Piedepgina">
    <w:name w:val="footer"/>
    <w:basedOn w:val="Normal"/>
    <w:link w:val="PiedepginaCar"/>
    <w:uiPriority w:val="99"/>
    <w:unhideWhenUsed/>
    <w:rsid w:val="0056228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6228E"/>
  </w:style>
  <w:style w:type="paragraph" w:styleId="Asuntodelcomentario">
    <w:name w:val="annotation subject"/>
    <w:basedOn w:val="Textocomentario"/>
    <w:next w:val="Textocomentario"/>
    <w:link w:val="AsuntodelcomentarioCar"/>
    <w:uiPriority w:val="99"/>
    <w:semiHidden/>
    <w:unhideWhenUsed/>
    <w:rsid w:val="004E7511"/>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4E7511"/>
    <w:rPr>
      <w:rFonts w:ascii="Times New Roman" w:eastAsia="Times New Roman" w:hAnsi="Times New Roman" w:cs="Times New Roman"/>
      <w:b/>
      <w:bCs/>
      <w:sz w:val="20"/>
      <w:szCs w:val="20"/>
    </w:rPr>
  </w:style>
  <w:style w:type="character" w:customStyle="1" w:styleId="SPrrafonormalSerieCharChar">
    <w:name w:val="S Párrafo normal Serie Char Char"/>
    <w:basedOn w:val="Fuentedeprrafopredeter"/>
    <w:link w:val="SPrrafonormalSerie"/>
    <w:rsid w:val="00027ED8"/>
    <w:rPr>
      <w:noProof/>
      <w:lang w:val="es-ES_tradnl"/>
    </w:rPr>
  </w:style>
  <w:style w:type="paragraph" w:customStyle="1" w:styleId="SPrrafonormalSerie">
    <w:name w:val="S Párrafo normal Serie"/>
    <w:basedOn w:val="Normal"/>
    <w:link w:val="SPrrafonormalSerieCharChar"/>
    <w:rsid w:val="00027ED8"/>
    <w:pPr>
      <w:spacing w:after="120" w:line="240" w:lineRule="auto"/>
      <w:ind w:firstLine="567"/>
    </w:pPr>
    <w:rPr>
      <w:noProof/>
      <w:lang w:val="es-ES_tradnl"/>
    </w:rPr>
  </w:style>
  <w:style w:type="paragraph" w:styleId="Revisin">
    <w:name w:val="Revision"/>
    <w:hidden/>
    <w:uiPriority w:val="99"/>
    <w:semiHidden/>
    <w:rsid w:val="00781255"/>
    <w:pPr>
      <w:spacing w:line="240" w:lineRule="auto"/>
    </w:pPr>
  </w:style>
  <w:style w:type="paragraph" w:styleId="Prrafodelista">
    <w:name w:val="List Paragraph"/>
    <w:basedOn w:val="Normal"/>
    <w:uiPriority w:val="34"/>
    <w:qFormat/>
    <w:rsid w:val="00EA6065"/>
    <w:pPr>
      <w:ind w:left="720"/>
      <w:contextualSpacing/>
    </w:pPr>
  </w:style>
  <w:style w:type="character" w:styleId="Hipervnculo">
    <w:name w:val="Hyperlink"/>
    <w:basedOn w:val="Fuentedeprrafopredeter"/>
    <w:uiPriority w:val="99"/>
    <w:unhideWhenUsed/>
    <w:rsid w:val="001628E4"/>
    <w:rPr>
      <w:color w:val="0563C1" w:themeColor="hyperlink"/>
      <w:u w:val="single"/>
    </w:rPr>
  </w:style>
  <w:style w:type="table" w:styleId="Cuadrculadetablaclara">
    <w:name w:val="Grid Table Light"/>
    <w:basedOn w:val="Tablanormal"/>
    <w:uiPriority w:val="40"/>
    <w:rsid w:val="00246558"/>
    <w:pPr>
      <w:spacing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iblio">
    <w:name w:val="Biblio"/>
    <w:qFormat/>
    <w:rsid w:val="0087280D"/>
    <w:pPr>
      <w:suppressAutoHyphens/>
      <w:spacing w:after="120" w:line="240" w:lineRule="auto"/>
      <w:ind w:left="454" w:hanging="454"/>
    </w:pPr>
    <w:rPr>
      <w:rFonts w:ascii="Garamond" w:eastAsia="Calibri" w:hAnsi="Garamond" w:cs="Times New Roman"/>
      <w:sz w:val="24"/>
      <w:lang w:val="fi-FI"/>
    </w:rPr>
  </w:style>
  <w:style w:type="character" w:styleId="Hipervnculovisitado">
    <w:name w:val="FollowedHyperlink"/>
    <w:basedOn w:val="Fuentedeprrafopredeter"/>
    <w:uiPriority w:val="99"/>
    <w:semiHidden/>
    <w:unhideWhenUsed/>
    <w:rsid w:val="00194F17"/>
    <w:rPr>
      <w:color w:val="954F72" w:themeColor="followedHyperlink"/>
      <w:u w:val="single"/>
    </w:rPr>
  </w:style>
  <w:style w:type="character" w:customStyle="1" w:styleId="Mencinsinresolver1">
    <w:name w:val="Mención sin resolver1"/>
    <w:basedOn w:val="Fuentedeprrafopredeter"/>
    <w:uiPriority w:val="99"/>
    <w:semiHidden/>
    <w:unhideWhenUsed/>
    <w:rsid w:val="00B7753C"/>
    <w:rPr>
      <w:color w:val="605E5C"/>
      <w:shd w:val="clear" w:color="auto" w:fill="E1DFDD"/>
    </w:rPr>
  </w:style>
  <w:style w:type="character" w:customStyle="1" w:styleId="UnresolvedMention">
    <w:name w:val="Unresolved Mention"/>
    <w:basedOn w:val="Fuentedeprrafopredeter"/>
    <w:uiPriority w:val="99"/>
    <w:rsid w:val="0076771B"/>
    <w:rPr>
      <w:color w:val="605E5C"/>
      <w:shd w:val="clear" w:color="auto" w:fill="E1DFDD"/>
    </w:rPr>
  </w:style>
  <w:style w:type="paragraph" w:styleId="NormalWeb">
    <w:name w:val="Normal (Web)"/>
    <w:basedOn w:val="Normal"/>
    <w:uiPriority w:val="99"/>
    <w:semiHidden/>
    <w:unhideWhenUsed/>
    <w:rsid w:val="004F667C"/>
    <w:pPr>
      <w:spacing w:before="100" w:beforeAutospacing="1" w:after="100" w:afterAutospacing="1" w:line="240" w:lineRule="auto"/>
      <w:jc w:val="left"/>
    </w:pPr>
    <w:rPr>
      <w:rFonts w:ascii="Times New Roman" w:eastAsiaTheme="minorEastAsia" w:hAnsi="Times New Roman" w:cs="Times New Roman"/>
      <w:sz w:val="24"/>
      <w:szCs w:val="24"/>
      <w:lang w:val="en-US"/>
    </w:rPr>
  </w:style>
  <w:style w:type="character" w:styleId="nfasis">
    <w:name w:val="Emphasis"/>
    <w:basedOn w:val="Fuentedeprrafopredeter"/>
    <w:uiPriority w:val="20"/>
    <w:qFormat/>
    <w:rsid w:val="00BC2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7217">
      <w:bodyDiv w:val="1"/>
      <w:marLeft w:val="0"/>
      <w:marRight w:val="0"/>
      <w:marTop w:val="0"/>
      <w:marBottom w:val="0"/>
      <w:divBdr>
        <w:top w:val="none" w:sz="0" w:space="0" w:color="auto"/>
        <w:left w:val="none" w:sz="0" w:space="0" w:color="auto"/>
        <w:bottom w:val="none" w:sz="0" w:space="0" w:color="auto"/>
        <w:right w:val="none" w:sz="0" w:space="0" w:color="auto"/>
      </w:divBdr>
    </w:div>
    <w:div w:id="198706201">
      <w:bodyDiv w:val="1"/>
      <w:marLeft w:val="0"/>
      <w:marRight w:val="0"/>
      <w:marTop w:val="0"/>
      <w:marBottom w:val="0"/>
      <w:divBdr>
        <w:top w:val="none" w:sz="0" w:space="0" w:color="auto"/>
        <w:left w:val="none" w:sz="0" w:space="0" w:color="auto"/>
        <w:bottom w:val="none" w:sz="0" w:space="0" w:color="auto"/>
        <w:right w:val="none" w:sz="0" w:space="0" w:color="auto"/>
      </w:divBdr>
    </w:div>
    <w:div w:id="448553805">
      <w:bodyDiv w:val="1"/>
      <w:marLeft w:val="0"/>
      <w:marRight w:val="0"/>
      <w:marTop w:val="0"/>
      <w:marBottom w:val="0"/>
      <w:divBdr>
        <w:top w:val="none" w:sz="0" w:space="0" w:color="auto"/>
        <w:left w:val="none" w:sz="0" w:space="0" w:color="auto"/>
        <w:bottom w:val="none" w:sz="0" w:space="0" w:color="auto"/>
        <w:right w:val="none" w:sz="0" w:space="0" w:color="auto"/>
      </w:divBdr>
      <w:divsChild>
        <w:div w:id="1143422908">
          <w:marLeft w:val="0"/>
          <w:marRight w:val="0"/>
          <w:marTop w:val="0"/>
          <w:marBottom w:val="0"/>
          <w:divBdr>
            <w:top w:val="none" w:sz="0" w:space="0" w:color="auto"/>
            <w:left w:val="none" w:sz="0" w:space="0" w:color="auto"/>
            <w:bottom w:val="none" w:sz="0" w:space="0" w:color="auto"/>
            <w:right w:val="none" w:sz="0" w:space="0" w:color="auto"/>
          </w:divBdr>
        </w:div>
      </w:divsChild>
    </w:div>
    <w:div w:id="476578882">
      <w:bodyDiv w:val="1"/>
      <w:marLeft w:val="0"/>
      <w:marRight w:val="0"/>
      <w:marTop w:val="0"/>
      <w:marBottom w:val="0"/>
      <w:divBdr>
        <w:top w:val="none" w:sz="0" w:space="0" w:color="auto"/>
        <w:left w:val="none" w:sz="0" w:space="0" w:color="auto"/>
        <w:bottom w:val="none" w:sz="0" w:space="0" w:color="auto"/>
        <w:right w:val="none" w:sz="0" w:space="0" w:color="auto"/>
      </w:divBdr>
      <w:divsChild>
        <w:div w:id="1324972161">
          <w:marLeft w:val="0"/>
          <w:marRight w:val="0"/>
          <w:marTop w:val="0"/>
          <w:marBottom w:val="0"/>
          <w:divBdr>
            <w:top w:val="none" w:sz="0" w:space="0" w:color="auto"/>
            <w:left w:val="none" w:sz="0" w:space="0" w:color="auto"/>
            <w:bottom w:val="none" w:sz="0" w:space="0" w:color="auto"/>
            <w:right w:val="none" w:sz="0" w:space="0" w:color="auto"/>
          </w:divBdr>
        </w:div>
      </w:divsChild>
    </w:div>
    <w:div w:id="488139393">
      <w:bodyDiv w:val="1"/>
      <w:marLeft w:val="0"/>
      <w:marRight w:val="0"/>
      <w:marTop w:val="0"/>
      <w:marBottom w:val="0"/>
      <w:divBdr>
        <w:top w:val="none" w:sz="0" w:space="0" w:color="auto"/>
        <w:left w:val="none" w:sz="0" w:space="0" w:color="auto"/>
        <w:bottom w:val="none" w:sz="0" w:space="0" w:color="auto"/>
        <w:right w:val="none" w:sz="0" w:space="0" w:color="auto"/>
      </w:divBdr>
    </w:div>
    <w:div w:id="518616507">
      <w:bodyDiv w:val="1"/>
      <w:marLeft w:val="0"/>
      <w:marRight w:val="0"/>
      <w:marTop w:val="0"/>
      <w:marBottom w:val="0"/>
      <w:divBdr>
        <w:top w:val="none" w:sz="0" w:space="0" w:color="auto"/>
        <w:left w:val="none" w:sz="0" w:space="0" w:color="auto"/>
        <w:bottom w:val="none" w:sz="0" w:space="0" w:color="auto"/>
        <w:right w:val="none" w:sz="0" w:space="0" w:color="auto"/>
      </w:divBdr>
    </w:div>
    <w:div w:id="559556058">
      <w:bodyDiv w:val="1"/>
      <w:marLeft w:val="0"/>
      <w:marRight w:val="0"/>
      <w:marTop w:val="0"/>
      <w:marBottom w:val="0"/>
      <w:divBdr>
        <w:top w:val="none" w:sz="0" w:space="0" w:color="auto"/>
        <w:left w:val="none" w:sz="0" w:space="0" w:color="auto"/>
        <w:bottom w:val="none" w:sz="0" w:space="0" w:color="auto"/>
        <w:right w:val="none" w:sz="0" w:space="0" w:color="auto"/>
      </w:divBdr>
    </w:div>
    <w:div w:id="599022563">
      <w:bodyDiv w:val="1"/>
      <w:marLeft w:val="0"/>
      <w:marRight w:val="0"/>
      <w:marTop w:val="0"/>
      <w:marBottom w:val="0"/>
      <w:divBdr>
        <w:top w:val="none" w:sz="0" w:space="0" w:color="auto"/>
        <w:left w:val="none" w:sz="0" w:space="0" w:color="auto"/>
        <w:bottom w:val="none" w:sz="0" w:space="0" w:color="auto"/>
        <w:right w:val="none" w:sz="0" w:space="0" w:color="auto"/>
      </w:divBdr>
    </w:div>
    <w:div w:id="717559181">
      <w:bodyDiv w:val="1"/>
      <w:marLeft w:val="0"/>
      <w:marRight w:val="0"/>
      <w:marTop w:val="0"/>
      <w:marBottom w:val="0"/>
      <w:divBdr>
        <w:top w:val="none" w:sz="0" w:space="0" w:color="auto"/>
        <w:left w:val="none" w:sz="0" w:space="0" w:color="auto"/>
        <w:bottom w:val="none" w:sz="0" w:space="0" w:color="auto"/>
        <w:right w:val="none" w:sz="0" w:space="0" w:color="auto"/>
      </w:divBdr>
    </w:div>
    <w:div w:id="751582139">
      <w:bodyDiv w:val="1"/>
      <w:marLeft w:val="0"/>
      <w:marRight w:val="0"/>
      <w:marTop w:val="0"/>
      <w:marBottom w:val="0"/>
      <w:divBdr>
        <w:top w:val="none" w:sz="0" w:space="0" w:color="auto"/>
        <w:left w:val="none" w:sz="0" w:space="0" w:color="auto"/>
        <w:bottom w:val="none" w:sz="0" w:space="0" w:color="auto"/>
        <w:right w:val="none" w:sz="0" w:space="0" w:color="auto"/>
      </w:divBdr>
    </w:div>
    <w:div w:id="802116030">
      <w:bodyDiv w:val="1"/>
      <w:marLeft w:val="0"/>
      <w:marRight w:val="0"/>
      <w:marTop w:val="0"/>
      <w:marBottom w:val="0"/>
      <w:divBdr>
        <w:top w:val="none" w:sz="0" w:space="0" w:color="auto"/>
        <w:left w:val="none" w:sz="0" w:space="0" w:color="auto"/>
        <w:bottom w:val="none" w:sz="0" w:space="0" w:color="auto"/>
        <w:right w:val="none" w:sz="0" w:space="0" w:color="auto"/>
      </w:divBdr>
    </w:div>
    <w:div w:id="867303886">
      <w:bodyDiv w:val="1"/>
      <w:marLeft w:val="0"/>
      <w:marRight w:val="0"/>
      <w:marTop w:val="0"/>
      <w:marBottom w:val="0"/>
      <w:divBdr>
        <w:top w:val="none" w:sz="0" w:space="0" w:color="auto"/>
        <w:left w:val="none" w:sz="0" w:space="0" w:color="auto"/>
        <w:bottom w:val="none" w:sz="0" w:space="0" w:color="auto"/>
        <w:right w:val="none" w:sz="0" w:space="0" w:color="auto"/>
      </w:divBdr>
    </w:div>
    <w:div w:id="898976375">
      <w:bodyDiv w:val="1"/>
      <w:marLeft w:val="0"/>
      <w:marRight w:val="0"/>
      <w:marTop w:val="0"/>
      <w:marBottom w:val="0"/>
      <w:divBdr>
        <w:top w:val="none" w:sz="0" w:space="0" w:color="auto"/>
        <w:left w:val="none" w:sz="0" w:space="0" w:color="auto"/>
        <w:bottom w:val="none" w:sz="0" w:space="0" w:color="auto"/>
        <w:right w:val="none" w:sz="0" w:space="0" w:color="auto"/>
      </w:divBdr>
    </w:div>
    <w:div w:id="1202327683">
      <w:bodyDiv w:val="1"/>
      <w:marLeft w:val="0"/>
      <w:marRight w:val="0"/>
      <w:marTop w:val="0"/>
      <w:marBottom w:val="0"/>
      <w:divBdr>
        <w:top w:val="none" w:sz="0" w:space="0" w:color="auto"/>
        <w:left w:val="none" w:sz="0" w:space="0" w:color="auto"/>
        <w:bottom w:val="none" w:sz="0" w:space="0" w:color="auto"/>
        <w:right w:val="none" w:sz="0" w:space="0" w:color="auto"/>
      </w:divBdr>
    </w:div>
    <w:div w:id="1373186974">
      <w:bodyDiv w:val="1"/>
      <w:marLeft w:val="0"/>
      <w:marRight w:val="0"/>
      <w:marTop w:val="0"/>
      <w:marBottom w:val="0"/>
      <w:divBdr>
        <w:top w:val="none" w:sz="0" w:space="0" w:color="auto"/>
        <w:left w:val="none" w:sz="0" w:space="0" w:color="auto"/>
        <w:bottom w:val="none" w:sz="0" w:space="0" w:color="auto"/>
        <w:right w:val="none" w:sz="0" w:space="0" w:color="auto"/>
      </w:divBdr>
    </w:div>
    <w:div w:id="1550458226">
      <w:bodyDiv w:val="1"/>
      <w:marLeft w:val="0"/>
      <w:marRight w:val="0"/>
      <w:marTop w:val="0"/>
      <w:marBottom w:val="0"/>
      <w:divBdr>
        <w:top w:val="none" w:sz="0" w:space="0" w:color="auto"/>
        <w:left w:val="none" w:sz="0" w:space="0" w:color="auto"/>
        <w:bottom w:val="none" w:sz="0" w:space="0" w:color="auto"/>
        <w:right w:val="none" w:sz="0" w:space="0" w:color="auto"/>
      </w:divBdr>
      <w:divsChild>
        <w:div w:id="2119177887">
          <w:marLeft w:val="0"/>
          <w:marRight w:val="0"/>
          <w:marTop w:val="0"/>
          <w:marBottom w:val="0"/>
          <w:divBdr>
            <w:top w:val="none" w:sz="0" w:space="0" w:color="auto"/>
            <w:left w:val="none" w:sz="0" w:space="0" w:color="auto"/>
            <w:bottom w:val="none" w:sz="0" w:space="0" w:color="auto"/>
            <w:right w:val="none" w:sz="0" w:space="0" w:color="auto"/>
          </w:divBdr>
        </w:div>
      </w:divsChild>
    </w:div>
    <w:div w:id="1652364842">
      <w:bodyDiv w:val="1"/>
      <w:marLeft w:val="0"/>
      <w:marRight w:val="0"/>
      <w:marTop w:val="0"/>
      <w:marBottom w:val="0"/>
      <w:divBdr>
        <w:top w:val="none" w:sz="0" w:space="0" w:color="auto"/>
        <w:left w:val="none" w:sz="0" w:space="0" w:color="auto"/>
        <w:bottom w:val="none" w:sz="0" w:space="0" w:color="auto"/>
        <w:right w:val="none" w:sz="0" w:space="0" w:color="auto"/>
      </w:divBdr>
    </w:div>
    <w:div w:id="1707635938">
      <w:bodyDiv w:val="1"/>
      <w:marLeft w:val="0"/>
      <w:marRight w:val="0"/>
      <w:marTop w:val="0"/>
      <w:marBottom w:val="0"/>
      <w:divBdr>
        <w:top w:val="none" w:sz="0" w:space="0" w:color="auto"/>
        <w:left w:val="none" w:sz="0" w:space="0" w:color="auto"/>
        <w:bottom w:val="none" w:sz="0" w:space="0" w:color="auto"/>
        <w:right w:val="none" w:sz="0" w:space="0" w:color="auto"/>
      </w:divBdr>
    </w:div>
    <w:div w:id="1765304143">
      <w:bodyDiv w:val="1"/>
      <w:marLeft w:val="0"/>
      <w:marRight w:val="0"/>
      <w:marTop w:val="0"/>
      <w:marBottom w:val="0"/>
      <w:divBdr>
        <w:top w:val="none" w:sz="0" w:space="0" w:color="auto"/>
        <w:left w:val="none" w:sz="0" w:space="0" w:color="auto"/>
        <w:bottom w:val="none" w:sz="0" w:space="0" w:color="auto"/>
        <w:right w:val="none" w:sz="0" w:space="0" w:color="auto"/>
      </w:divBdr>
    </w:div>
    <w:div w:id="1888177162">
      <w:bodyDiv w:val="1"/>
      <w:marLeft w:val="0"/>
      <w:marRight w:val="0"/>
      <w:marTop w:val="0"/>
      <w:marBottom w:val="0"/>
      <w:divBdr>
        <w:top w:val="none" w:sz="0" w:space="0" w:color="auto"/>
        <w:left w:val="none" w:sz="0" w:space="0" w:color="auto"/>
        <w:bottom w:val="none" w:sz="0" w:space="0" w:color="auto"/>
        <w:right w:val="none" w:sz="0" w:space="0" w:color="auto"/>
      </w:divBdr>
    </w:div>
    <w:div w:id="21259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chile.gob.cl/wpcontent/uploads/2017/06/investchile"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ortatil/Downloads/PotentialCobaltResources-Chile_vEspanol.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hyperlink" Target="http://www.demos.co.uk"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www.bcentral.cl/web/guest/-/stock-de-capital-en%09chile-%091985-2005-metodologia-y-resultad-1" TargetMode="External"/><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localhost\Users\andrea\Desktop\F-D\A&#769;lvaro%20Diaz\C%20&amp;%20G%2026.10.18,%20u&#769;ltimo%20enviado%20por%20mi%20a%20CEPAL.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localhost\Users\andrea\Desktop\F-D\A&#769;lvaro%20Diaz\C%20&amp;%20G%20AD-FD%2026.01.18%20+%2003.04.19%20AC.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localhost\Users\andrea\Desktop\F-D\A&#769;lvaro%20Diaz\Inversio&#769;n%20en%20mineri&#769;a%2031.07.18%20para%20C5%20serie%2003%20y%2013%20mi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ocalhost\Users\andrea\Desktop\F-D\A&#769;lvaro%20Diaz\SKN%20por%20miembro%20FT%20(1986-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localhost\Users\andrea\Desktop\F-D\A&#769;lvaro%20Diaz\ICOR%201960-1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localhost\Users\andrea\Desktop\F-D\A&#769;lvaro%20Diaz\C%20&amp;%20G%20AD-FD%2026.01.18.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3" Type="http://schemas.openxmlformats.org/officeDocument/2006/relationships/oleObject" Target="file:///\\localhost\Users\andrea\Desktop\F-D\A&#769;lvaro%20Diaz\Gra&#769;ficos%20con%20cambios%20AD-FD%2026.01.18.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3" Type="http://schemas.openxmlformats.org/officeDocument/2006/relationships/oleObject" Target="file:///\\localhost\Users\andrea\Desktop\F-D\A&#769;lvaro%20Diaz\C%20&amp;%20G%2026.10.18,%20u&#769;ltimo%20enviado%20por%20mi%20a%20CEPAL.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4.xml"/></Relationships>
</file>

<file path=word/charts/_rels/chart8.xml.rels><?xml version="1.0" encoding="UTF-8" standalone="yes"?>
<Relationships xmlns="http://schemas.openxmlformats.org/package/2006/relationships"><Relationship Id="rId3" Type="http://schemas.openxmlformats.org/officeDocument/2006/relationships/oleObject" Target="file:///\\localhost\Users\andrea\Desktop\F-D\A&#769;lvaro%20Diaz\C%20&amp;%20G%2026.10.18,%20u&#769;ltimo%20enviado%20por%20mi%20a%20CEPAL.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5.xml"/></Relationships>
</file>

<file path=word/charts/_rels/chart9.xml.rels><?xml version="1.0" encoding="UTF-8" standalone="yes"?>
<Relationships xmlns="http://schemas.openxmlformats.org/package/2006/relationships"><Relationship Id="rId3" Type="http://schemas.openxmlformats.org/officeDocument/2006/relationships/oleObject" Target="file:///\\localhost\Users\andrea\Desktop\F-D\A&#769;lvaro%20Diaz\C%20&amp;%20G%20AD-FD%2026.01.18.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charset="0"/>
                <a:ea typeface="Times New Roman" charset="0"/>
                <a:cs typeface="Times New Roman" charset="0"/>
              </a:defRPr>
            </a:pPr>
            <a:r>
              <a:rPr lang="es-CL" sz="1100" b="1"/>
              <a:t>Gráfico 1.</a:t>
            </a:r>
            <a:r>
              <a:rPr lang="es-CL" sz="1100" b="1" baseline="0"/>
              <a:t> </a:t>
            </a:r>
            <a:r>
              <a:rPr lang="es-CL" sz="1100" b="1"/>
              <a:t>Stock de capital por trabajador y PIB per cápita</a:t>
            </a:r>
          </a:p>
          <a:p>
            <a:pPr>
              <a:defRPr/>
            </a:pPr>
            <a:r>
              <a:rPr lang="es-CL" sz="1100" b="1"/>
              <a:t>en países de América Latina y países desarrollados, 2005-2014</a:t>
            </a:r>
          </a:p>
          <a:p>
            <a:pPr>
              <a:defRPr/>
            </a:pPr>
            <a:r>
              <a:rPr lang="es-CL" sz="1100"/>
              <a:t>(US$ PPC 2011</a:t>
            </a:r>
            <a:r>
              <a:rPr lang="es-CL" sz="1100" strike="noStrike"/>
              <a:t> corrientes</a:t>
            </a:r>
            <a:r>
              <a:rPr lang="es-CL" sz="1100"/>
              <a:t>) </a:t>
            </a:r>
            <a:endParaRPr lang="en-US" sz="1100"/>
          </a:p>
        </c:rich>
      </c:tx>
      <c:layout>
        <c:manualLayout>
          <c:xMode val="edge"/>
          <c:yMode val="edge"/>
          <c:x val="0.21229197080292"/>
          <c:y val="1.687763713080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charset="0"/>
              <a:ea typeface="Times New Roman" charset="0"/>
              <a:cs typeface="Times New Roman" charset="0"/>
            </a:defRPr>
          </a:pPr>
          <a:endParaRPr lang="es-CL"/>
        </a:p>
      </c:txPr>
    </c:title>
    <c:autoTitleDeleted val="0"/>
    <c:plotArea>
      <c:layout>
        <c:manualLayout>
          <c:layoutTarget val="inner"/>
          <c:xMode val="edge"/>
          <c:yMode val="edge"/>
          <c:x val="0.114395425622714"/>
          <c:y val="0.17932182528851601"/>
          <c:w val="0.83440534235320196"/>
          <c:h val="0.64455499626287704"/>
        </c:manualLayout>
      </c:layout>
      <c:scatterChart>
        <c:scatterStyle val="lineMarker"/>
        <c:varyColors val="0"/>
        <c:ser>
          <c:idx val="0"/>
          <c:order val="0"/>
          <c:tx>
            <c:v>s</c:v>
          </c:tx>
          <c:spPr>
            <a:ln w="25400" cap="rnd">
              <a:noFill/>
              <a:round/>
            </a:ln>
            <a:effectLst/>
          </c:spPr>
          <c:marker>
            <c:symbol val="circle"/>
            <c:size val="5"/>
            <c:spPr>
              <a:solidFill>
                <a:schemeClr val="accent1"/>
              </a:solidFill>
              <a:ln w="38100">
                <a:solidFill>
                  <a:schemeClr val="tx1"/>
                </a:solidFill>
              </a:ln>
              <a:effectLst/>
            </c:spPr>
          </c:marker>
          <c:dPt>
            <c:idx val="5"/>
            <c:marker>
              <c:symbol val="circle"/>
              <c:size val="5"/>
              <c:spPr>
                <a:solidFill>
                  <a:schemeClr val="accent1"/>
                </a:solidFill>
                <a:ln w="38100">
                  <a:solidFill>
                    <a:srgbClr val="C00000"/>
                  </a:solidFill>
                </a:ln>
                <a:effectLst/>
              </c:spPr>
            </c:marker>
            <c:bubble3D val="0"/>
            <c:extLst xmlns:c16r2="http://schemas.microsoft.com/office/drawing/2015/06/chart">
              <c:ext xmlns:c16="http://schemas.microsoft.com/office/drawing/2014/chart" uri="{C3380CC4-5D6E-409C-BE32-E72D297353CC}">
                <c16:uniqueId val="{00000002-7AFF-41E6-BEFD-785A309E16AD}"/>
              </c:ext>
            </c:extLst>
          </c:dPt>
          <c:trendline>
            <c:spPr>
              <a:ln w="19050" cap="rnd">
                <a:solidFill>
                  <a:schemeClr val="accent2">
                    <a:lumMod val="75000"/>
                  </a:schemeClr>
                </a:solidFill>
                <a:prstDash val="solid"/>
              </a:ln>
              <a:effectLst/>
            </c:spPr>
            <c:trendlineType val="linear"/>
            <c:dispRSqr val="0"/>
            <c:dispEq val="0"/>
          </c:trendline>
          <c:xVal>
            <c:numRef>
              <c:f>G.1!$D$4:$D$22</c:f>
              <c:numCache>
                <c:formatCode>#,##0</c:formatCode>
                <c:ptCount val="19"/>
                <c:pt idx="0">
                  <c:v>29678.45728822915</c:v>
                </c:pt>
                <c:pt idx="1">
                  <c:v>34219.925289105493</c:v>
                </c:pt>
                <c:pt idx="2">
                  <c:v>39263.411405480481</c:v>
                </c:pt>
                <c:pt idx="3">
                  <c:v>49982.537237180833</c:v>
                </c:pt>
                <c:pt idx="4">
                  <c:v>53255.713506325723</c:v>
                </c:pt>
                <c:pt idx="5">
                  <c:v>65667.450915395675</c:v>
                </c:pt>
                <c:pt idx="6">
                  <c:v>66261.801969061198</c:v>
                </c:pt>
                <c:pt idx="7">
                  <c:v>75967.238492231074</c:v>
                </c:pt>
                <c:pt idx="8">
                  <c:v>136584.25988959911</c:v>
                </c:pt>
                <c:pt idx="9">
                  <c:v>143826.93882680961</c:v>
                </c:pt>
                <c:pt idx="10">
                  <c:v>165440.9703940071</c:v>
                </c:pt>
                <c:pt idx="11">
                  <c:v>167001.8012176856</c:v>
                </c:pt>
                <c:pt idx="12">
                  <c:v>171329.09871651779</c:v>
                </c:pt>
                <c:pt idx="13">
                  <c:v>182703.4388172811</c:v>
                </c:pt>
                <c:pt idx="14">
                  <c:v>182840.6511758384</c:v>
                </c:pt>
                <c:pt idx="15">
                  <c:v>183084.7283408095</c:v>
                </c:pt>
                <c:pt idx="16">
                  <c:v>183601.42243560639</c:v>
                </c:pt>
                <c:pt idx="17">
                  <c:v>187816.95052400569</c:v>
                </c:pt>
                <c:pt idx="18">
                  <c:v>191168.83886182489</c:v>
                </c:pt>
              </c:numCache>
            </c:numRef>
          </c:xVal>
          <c:yVal>
            <c:numRef>
              <c:f>G.1!$C$4:$C$22</c:f>
              <c:numCache>
                <c:formatCode>#,##0</c:formatCode>
                <c:ptCount val="19"/>
                <c:pt idx="0">
                  <c:v>10993.25010489731</c:v>
                </c:pt>
                <c:pt idx="1">
                  <c:v>14185.774972748901</c:v>
                </c:pt>
                <c:pt idx="2">
                  <c:v>12599.37903463078</c:v>
                </c:pt>
                <c:pt idx="3">
                  <c:v>20221.82932136895</c:v>
                </c:pt>
                <c:pt idx="4">
                  <c:v>15852.571438433561</c:v>
                </c:pt>
                <c:pt idx="5">
                  <c:v>21581.325618304531</c:v>
                </c:pt>
                <c:pt idx="6">
                  <c:v>14870.584133475741</c:v>
                </c:pt>
                <c:pt idx="7">
                  <c:v>20395.551318519931</c:v>
                </c:pt>
                <c:pt idx="8">
                  <c:v>35103.957109741568</c:v>
                </c:pt>
                <c:pt idx="9">
                  <c:v>35358.459846906371</c:v>
                </c:pt>
                <c:pt idx="10">
                  <c:v>52292.281832076951</c:v>
                </c:pt>
                <c:pt idx="11">
                  <c:v>43070.619383259567</c:v>
                </c:pt>
                <c:pt idx="12">
                  <c:v>42351.853625764321</c:v>
                </c:pt>
                <c:pt idx="13">
                  <c:v>39374.27587173455</c:v>
                </c:pt>
                <c:pt idx="14">
                  <c:v>44598.266951258687</c:v>
                </c:pt>
                <c:pt idx="15">
                  <c:v>40400.770189208823</c:v>
                </c:pt>
                <c:pt idx="16">
                  <c:v>40241.508696506717</c:v>
                </c:pt>
                <c:pt idx="17">
                  <c:v>45961.05458675816</c:v>
                </c:pt>
                <c:pt idx="18">
                  <c:v>44923.965126700503</c:v>
                </c:pt>
              </c:numCache>
            </c:numRef>
          </c:yVal>
          <c:smooth val="0"/>
          <c:extLst xmlns:c16r2="http://schemas.microsoft.com/office/drawing/2015/06/chart">
            <c:ext xmlns:c16="http://schemas.microsoft.com/office/drawing/2014/chart" uri="{C3380CC4-5D6E-409C-BE32-E72D297353CC}">
              <c16:uniqueId val="{00000000-7AFF-41E6-BEFD-785A309E16AD}"/>
            </c:ext>
          </c:extLst>
        </c:ser>
        <c:dLbls>
          <c:showLegendKey val="0"/>
          <c:showVal val="0"/>
          <c:showCatName val="0"/>
          <c:showSerName val="0"/>
          <c:showPercent val="0"/>
          <c:showBubbleSize val="0"/>
        </c:dLbls>
        <c:axId val="245969216"/>
        <c:axId val="346626664"/>
      </c:scatterChart>
      <c:valAx>
        <c:axId val="245969216"/>
        <c:scaling>
          <c:orientation val="minMax"/>
          <c:max val="200000"/>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r>
                  <a:rPr lang="en-US" sz="1000"/>
                  <a:t>Stock de capital por trabajador (PPC US$ 2011)</a:t>
                </a:r>
                <a:endParaRPr lang="es-CL" sz="1000"/>
              </a:p>
            </c:rich>
          </c:tx>
          <c:layout>
            <c:manualLayout>
              <c:xMode val="edge"/>
              <c:yMode val="edge"/>
              <c:x val="0.32739304209054998"/>
              <c:y val="0.9254935776833209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title>
        <c:numFmt formatCode="#,##0" sourceLinked="1"/>
        <c:majorTickMark val="none"/>
        <c:minorTickMark val="none"/>
        <c:tickLblPos val="nextTo"/>
        <c:spPr>
          <a:noFill/>
          <a:ln w="12700"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s-CL"/>
          </a:p>
        </c:txPr>
        <c:crossAx val="346626664"/>
        <c:crosses val="autoZero"/>
        <c:crossBetween val="midCat"/>
      </c:valAx>
      <c:valAx>
        <c:axId val="346626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r>
                  <a:rPr lang="en-US" sz="1000"/>
                  <a:t>PIB per cápita a PPC (US$ 2011 </a:t>
                </a:r>
                <a:r>
                  <a:rPr lang="en-US" sz="1000" strike="noStrike"/>
                  <a:t>corrientes</a:t>
                </a:r>
                <a:r>
                  <a:rPr lang="en-US" sz="1000"/>
                  <a:t>)</a:t>
                </a:r>
                <a:endParaRPr lang="es-CL" sz="1000"/>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title>
        <c:numFmt formatCode="#,##0" sourceLinked="1"/>
        <c:majorTickMark val="none"/>
        <c:minorTickMark val="none"/>
        <c:tickLblPos val="nextTo"/>
        <c:spPr>
          <a:noFill/>
          <a:ln w="12700"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s-CL"/>
          </a:p>
        </c:txPr>
        <c:crossAx val="245969216"/>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ysClr val="windowText" lastClr="000000"/>
          </a:solidFill>
          <a:latin typeface="Times New Roman" charset="0"/>
          <a:ea typeface="Times New Roman" charset="0"/>
          <a:cs typeface="Times New Roman" charset="0"/>
        </a:defRPr>
      </a:pPr>
      <a:endParaRPr lang="es-CL"/>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charset="0"/>
                <a:ea typeface="Times New Roman" charset="0"/>
                <a:cs typeface="Times New Roman" charset="0"/>
              </a:defRPr>
            </a:pPr>
            <a:r>
              <a:rPr lang="es-CL" sz="1200" b="1" i="0" baseline="0">
                <a:solidFill>
                  <a:sysClr val="windowText" lastClr="000000"/>
                </a:solidFill>
                <a:effectLst/>
                <a:latin typeface="Times New Roman" charset="0"/>
                <a:ea typeface="Times New Roman" charset="0"/>
                <a:cs typeface="Times New Roman" charset="0"/>
              </a:rPr>
              <a:t>Gr</a:t>
            </a:r>
            <a:r>
              <a:rPr lang="en-US" sz="1200" b="1" i="0" baseline="0">
                <a:solidFill>
                  <a:sysClr val="windowText" lastClr="000000"/>
                </a:solidFill>
                <a:effectLst/>
                <a:latin typeface="Times New Roman" charset="0"/>
                <a:ea typeface="Times New Roman" charset="0"/>
                <a:cs typeface="Times New Roman" charset="0"/>
              </a:rPr>
              <a:t>áfico</a:t>
            </a:r>
            <a:r>
              <a:rPr lang="es-CL" sz="1200" b="1" i="0" baseline="0">
                <a:solidFill>
                  <a:sysClr val="windowText" lastClr="000000"/>
                </a:solidFill>
                <a:effectLst/>
                <a:latin typeface="Times New Roman" charset="0"/>
                <a:ea typeface="Times New Roman" charset="0"/>
                <a:cs typeface="Times New Roman" charset="0"/>
              </a:rPr>
              <a:t> 10. Inversiones viales MOP y concesiones MOP </a:t>
            </a:r>
          </a:p>
          <a:p>
            <a:pPr>
              <a:defRPr sz="1200">
                <a:solidFill>
                  <a:sysClr val="windowText" lastClr="000000"/>
                </a:solidFill>
                <a:latin typeface="Times New Roman" charset="0"/>
                <a:ea typeface="Times New Roman" charset="0"/>
                <a:cs typeface="Times New Roman" charset="0"/>
              </a:defRPr>
            </a:pPr>
            <a:r>
              <a:rPr lang="es-CL" sz="1200" b="0" i="0" baseline="0">
                <a:solidFill>
                  <a:sysClr val="windowText" lastClr="000000"/>
                </a:solidFill>
                <a:effectLst/>
                <a:latin typeface="Times New Roman" charset="0"/>
                <a:ea typeface="Times New Roman" charset="0"/>
                <a:cs typeface="Times New Roman" charset="0"/>
              </a:rPr>
              <a:t>(% del PIB a precios corrientes)</a:t>
            </a:r>
            <a:endParaRPr lang="es-CL" sz="1200" b="0">
              <a:solidFill>
                <a:sysClr val="windowText" lastClr="000000"/>
              </a:solidFill>
              <a:effectLst/>
              <a:latin typeface="Times New Roman" charset="0"/>
              <a:ea typeface="Times New Roman" charset="0"/>
              <a:cs typeface="Times New Roman"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charset="0"/>
              <a:ea typeface="Times New Roman" charset="0"/>
              <a:cs typeface="Times New Roman" charset="0"/>
            </a:defRPr>
          </a:pPr>
          <a:endParaRPr lang="es-CL"/>
        </a:p>
      </c:txPr>
    </c:title>
    <c:autoTitleDeleted val="0"/>
    <c:plotArea>
      <c:layout/>
      <c:barChart>
        <c:barDir val="col"/>
        <c:grouping val="stacked"/>
        <c:varyColors val="0"/>
        <c:ser>
          <c:idx val="0"/>
          <c:order val="0"/>
          <c:tx>
            <c:strRef>
              <c:f>G.10!$G$4</c:f>
              <c:strCache>
                <c:ptCount val="1"/>
                <c:pt idx="0">
                  <c:v>Dirección de Obras Hidráulicas</c:v>
                </c:pt>
              </c:strCache>
            </c:strRef>
          </c:tx>
          <c:spPr>
            <a:solidFill>
              <a:schemeClr val="accent1"/>
            </a:solidFill>
            <a:ln>
              <a:noFill/>
            </a:ln>
            <a:effectLst/>
          </c:spPr>
          <c:invertIfNegative val="0"/>
          <c:cat>
            <c:numRef>
              <c:f>G.10!$B$5:$B$30</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G.10!$G$5:$G$30</c:f>
              <c:numCache>
                <c:formatCode>0.00</c:formatCode>
                <c:ptCount val="26"/>
                <c:pt idx="0">
                  <c:v>5.1121335696810198E-3</c:v>
                </c:pt>
                <c:pt idx="1">
                  <c:v>2.2315389232188999E-2</c:v>
                </c:pt>
                <c:pt idx="2">
                  <c:v>5.3912431522236501E-2</c:v>
                </c:pt>
                <c:pt idx="3">
                  <c:v>6.7720001970124302E-2</c:v>
                </c:pt>
                <c:pt idx="4">
                  <c:v>6.9219386802153504E-2</c:v>
                </c:pt>
                <c:pt idx="5">
                  <c:v>5.4017334336567802E-2</c:v>
                </c:pt>
                <c:pt idx="6">
                  <c:v>5.9239044198791398E-2</c:v>
                </c:pt>
                <c:pt idx="7">
                  <c:v>8.7341020436970201E-2</c:v>
                </c:pt>
                <c:pt idx="8">
                  <c:v>0.103100509123653</c:v>
                </c:pt>
                <c:pt idx="9">
                  <c:v>0.10516517414033</c:v>
                </c:pt>
                <c:pt idx="10">
                  <c:v>9.1458242512828802E-2</c:v>
                </c:pt>
                <c:pt idx="11">
                  <c:v>7.8701690845948705E-2</c:v>
                </c:pt>
                <c:pt idx="12">
                  <c:v>7.4874639562237402E-2</c:v>
                </c:pt>
                <c:pt idx="13">
                  <c:v>7.9271696308055403E-2</c:v>
                </c:pt>
                <c:pt idx="14">
                  <c:v>6.1416530199714298E-2</c:v>
                </c:pt>
                <c:pt idx="15">
                  <c:v>6.2642170322890101E-2</c:v>
                </c:pt>
                <c:pt idx="16">
                  <c:v>4.0757326168532199E-2</c:v>
                </c:pt>
                <c:pt idx="17">
                  <c:v>5.0900348807301397E-2</c:v>
                </c:pt>
                <c:pt idx="18">
                  <c:v>7.8338625088801697E-2</c:v>
                </c:pt>
                <c:pt idx="19">
                  <c:v>9.0602089291534196E-2</c:v>
                </c:pt>
                <c:pt idx="20">
                  <c:v>7.7725150254711495E-2</c:v>
                </c:pt>
                <c:pt idx="21">
                  <c:v>7.8234989081282597E-2</c:v>
                </c:pt>
                <c:pt idx="22">
                  <c:v>7.2630142110527193E-2</c:v>
                </c:pt>
                <c:pt idx="23">
                  <c:v>7.1926610615217407E-2</c:v>
                </c:pt>
                <c:pt idx="24">
                  <c:v>7.0960266534200594E-2</c:v>
                </c:pt>
                <c:pt idx="25">
                  <c:v>8.0955246327924002E-2</c:v>
                </c:pt>
              </c:numCache>
            </c:numRef>
          </c:val>
          <c:extLst xmlns:c16r2="http://schemas.microsoft.com/office/drawing/2015/06/chart">
            <c:ext xmlns:c16="http://schemas.microsoft.com/office/drawing/2014/chart" uri="{C3380CC4-5D6E-409C-BE32-E72D297353CC}">
              <c16:uniqueId val="{00000000-9C97-49BE-A450-D55A45B481AD}"/>
            </c:ext>
          </c:extLst>
        </c:ser>
        <c:ser>
          <c:idx val="1"/>
          <c:order val="1"/>
          <c:tx>
            <c:strRef>
              <c:f>G.10!$D$4</c:f>
              <c:strCache>
                <c:ptCount val="1"/>
                <c:pt idx="0">
                  <c:v>Dirección de Obras Portuarias</c:v>
                </c:pt>
              </c:strCache>
            </c:strRef>
          </c:tx>
          <c:spPr>
            <a:solidFill>
              <a:schemeClr val="accent2"/>
            </a:solidFill>
            <a:ln>
              <a:noFill/>
            </a:ln>
            <a:effectLst/>
          </c:spPr>
          <c:invertIfNegative val="0"/>
          <c:cat>
            <c:numRef>
              <c:f>G.10!$B$5:$B$30</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G.10!$H$5:$H$30</c:f>
              <c:numCache>
                <c:formatCode>0.00</c:formatCode>
                <c:ptCount val="26"/>
                <c:pt idx="0">
                  <c:v>8.6770456978706393E-3</c:v>
                </c:pt>
                <c:pt idx="1">
                  <c:v>3.79309394174085E-2</c:v>
                </c:pt>
                <c:pt idx="2">
                  <c:v>4.5307315469347402E-2</c:v>
                </c:pt>
                <c:pt idx="3">
                  <c:v>5.7135682599160402E-2</c:v>
                </c:pt>
                <c:pt idx="4">
                  <c:v>5.2451751787448597E-2</c:v>
                </c:pt>
                <c:pt idx="5">
                  <c:v>5.7548098602408303E-2</c:v>
                </c:pt>
                <c:pt idx="6">
                  <c:v>4.42352496254345E-2</c:v>
                </c:pt>
                <c:pt idx="7">
                  <c:v>6.1426260731227603E-2</c:v>
                </c:pt>
                <c:pt idx="8">
                  <c:v>4.9770875884237502E-2</c:v>
                </c:pt>
                <c:pt idx="9">
                  <c:v>2.6344702164000901E-2</c:v>
                </c:pt>
                <c:pt idx="10">
                  <c:v>2.4553712115896E-2</c:v>
                </c:pt>
                <c:pt idx="11">
                  <c:v>2.8569743007029198E-2</c:v>
                </c:pt>
                <c:pt idx="12">
                  <c:v>2.4339731972544899E-2</c:v>
                </c:pt>
                <c:pt idx="13">
                  <c:v>2.2031814826590199E-2</c:v>
                </c:pt>
                <c:pt idx="14">
                  <c:v>1.73915716066337E-2</c:v>
                </c:pt>
                <c:pt idx="15">
                  <c:v>1.6926936161021099E-2</c:v>
                </c:pt>
                <c:pt idx="16">
                  <c:v>1.31372221401608E-2</c:v>
                </c:pt>
                <c:pt idx="17">
                  <c:v>1.4709863570515101E-2</c:v>
                </c:pt>
                <c:pt idx="18">
                  <c:v>1.48040874316256E-2</c:v>
                </c:pt>
                <c:pt idx="19">
                  <c:v>3.1612083699765703E-2</c:v>
                </c:pt>
                <c:pt idx="20">
                  <c:v>3.3489176252593199E-2</c:v>
                </c:pt>
                <c:pt idx="21">
                  <c:v>3.3640873060983997E-2</c:v>
                </c:pt>
                <c:pt idx="22">
                  <c:v>3.9816427964504797E-2</c:v>
                </c:pt>
                <c:pt idx="23">
                  <c:v>3.3411147087808298E-2</c:v>
                </c:pt>
                <c:pt idx="24">
                  <c:v>3.7855217924174303E-2</c:v>
                </c:pt>
                <c:pt idx="25">
                  <c:v>4.2105468014634703E-2</c:v>
                </c:pt>
              </c:numCache>
            </c:numRef>
          </c:val>
          <c:extLst xmlns:c16r2="http://schemas.microsoft.com/office/drawing/2015/06/chart">
            <c:ext xmlns:c16="http://schemas.microsoft.com/office/drawing/2014/chart" uri="{C3380CC4-5D6E-409C-BE32-E72D297353CC}">
              <c16:uniqueId val="{00000001-9C97-49BE-A450-D55A45B481AD}"/>
            </c:ext>
          </c:extLst>
        </c:ser>
        <c:ser>
          <c:idx val="2"/>
          <c:order val="2"/>
          <c:tx>
            <c:strRef>
              <c:f>G.10!$I$4</c:f>
              <c:strCache>
                <c:ptCount val="1"/>
                <c:pt idx="0">
                  <c:v>Dirección de Vialidad</c:v>
                </c:pt>
              </c:strCache>
            </c:strRef>
          </c:tx>
          <c:spPr>
            <a:solidFill>
              <a:schemeClr val="accent3"/>
            </a:solidFill>
            <a:ln>
              <a:noFill/>
            </a:ln>
            <a:effectLst/>
          </c:spPr>
          <c:invertIfNegative val="0"/>
          <c:cat>
            <c:numRef>
              <c:f>G.10!$B$5:$B$30</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G.10!$I$5:$I$30</c:f>
              <c:numCache>
                <c:formatCode>0.00</c:formatCode>
                <c:ptCount val="26"/>
                <c:pt idx="0">
                  <c:v>0.53619430214657204</c:v>
                </c:pt>
                <c:pt idx="1">
                  <c:v>0.60472135911707903</c:v>
                </c:pt>
                <c:pt idx="2">
                  <c:v>0.62382758316442699</c:v>
                </c:pt>
                <c:pt idx="3">
                  <c:v>0.65505761140859298</c:v>
                </c:pt>
                <c:pt idx="4">
                  <c:v>0.73288814676972902</c:v>
                </c:pt>
                <c:pt idx="5">
                  <c:v>0.683634887280962</c:v>
                </c:pt>
                <c:pt idx="6">
                  <c:v>0.79766747093405999</c:v>
                </c:pt>
                <c:pt idx="7">
                  <c:v>0.802029754076929</c:v>
                </c:pt>
                <c:pt idx="8">
                  <c:v>0.78859619615310095</c:v>
                </c:pt>
                <c:pt idx="9">
                  <c:v>0.70624141248813799</c:v>
                </c:pt>
                <c:pt idx="10">
                  <c:v>0.61102658201109505</c:v>
                </c:pt>
                <c:pt idx="11">
                  <c:v>0.56902623334106905</c:v>
                </c:pt>
                <c:pt idx="12">
                  <c:v>0.53890941799605396</c:v>
                </c:pt>
                <c:pt idx="13">
                  <c:v>0.49024056150582501</c:v>
                </c:pt>
                <c:pt idx="14">
                  <c:v>0.44394928988906202</c:v>
                </c:pt>
                <c:pt idx="15">
                  <c:v>0.413537820592282</c:v>
                </c:pt>
                <c:pt idx="16">
                  <c:v>0.40511121193106397</c:v>
                </c:pt>
                <c:pt idx="17">
                  <c:v>0.519399021327276</c:v>
                </c:pt>
                <c:pt idx="18">
                  <c:v>0.65140555285980295</c:v>
                </c:pt>
                <c:pt idx="19">
                  <c:v>0.72298384634053903</c:v>
                </c:pt>
                <c:pt idx="20">
                  <c:v>0.53306536478095601</c:v>
                </c:pt>
                <c:pt idx="21">
                  <c:v>0.54075874845854599</c:v>
                </c:pt>
                <c:pt idx="22">
                  <c:v>0.56536516741036102</c:v>
                </c:pt>
                <c:pt idx="23">
                  <c:v>0.59601391746313104</c:v>
                </c:pt>
                <c:pt idx="24">
                  <c:v>0.57736550638499595</c:v>
                </c:pt>
                <c:pt idx="25">
                  <c:v>0.62167327813899298</c:v>
                </c:pt>
              </c:numCache>
            </c:numRef>
          </c:val>
          <c:extLst xmlns:c16r2="http://schemas.microsoft.com/office/drawing/2015/06/chart">
            <c:ext xmlns:c16="http://schemas.microsoft.com/office/drawing/2014/chart" uri="{C3380CC4-5D6E-409C-BE32-E72D297353CC}">
              <c16:uniqueId val="{00000002-9C97-49BE-A450-D55A45B481AD}"/>
            </c:ext>
          </c:extLst>
        </c:ser>
        <c:ser>
          <c:idx val="3"/>
          <c:order val="3"/>
          <c:tx>
            <c:strRef>
              <c:f>G.10!$J$4</c:f>
              <c:strCache>
                <c:ptCount val="1"/>
                <c:pt idx="0">
                  <c:v>Concesiones</c:v>
                </c:pt>
              </c:strCache>
            </c:strRef>
          </c:tx>
          <c:spPr>
            <a:solidFill>
              <a:schemeClr val="accent4"/>
            </a:solidFill>
            <a:ln>
              <a:noFill/>
            </a:ln>
            <a:effectLst/>
          </c:spPr>
          <c:invertIfNegative val="0"/>
          <c:cat>
            <c:numRef>
              <c:f>G.10!$B$5:$B$30</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G.10!$J$5:$J$30</c:f>
              <c:numCache>
                <c:formatCode>0.00</c:formatCode>
                <c:ptCount val="26"/>
                <c:pt idx="0">
                  <c:v>0</c:v>
                </c:pt>
                <c:pt idx="1">
                  <c:v>0</c:v>
                </c:pt>
                <c:pt idx="2">
                  <c:v>0</c:v>
                </c:pt>
                <c:pt idx="3">
                  <c:v>0</c:v>
                </c:pt>
                <c:pt idx="4">
                  <c:v>0</c:v>
                </c:pt>
                <c:pt idx="5">
                  <c:v>9.9949860087094694E-2</c:v>
                </c:pt>
                <c:pt idx="6">
                  <c:v>0.21334900031339399</c:v>
                </c:pt>
                <c:pt idx="7">
                  <c:v>0.37191352741128603</c:v>
                </c:pt>
                <c:pt idx="8">
                  <c:v>0.54546590426672104</c:v>
                </c:pt>
                <c:pt idx="9">
                  <c:v>0.82609241236739395</c:v>
                </c:pt>
                <c:pt idx="10">
                  <c:v>0.90123321617697505</c:v>
                </c:pt>
                <c:pt idx="11">
                  <c:v>1.1522544004922519</c:v>
                </c:pt>
                <c:pt idx="12">
                  <c:v>0.86782271406934197</c:v>
                </c:pt>
                <c:pt idx="13">
                  <c:v>0.87097323071778598</c:v>
                </c:pt>
                <c:pt idx="14">
                  <c:v>1.1140417974864509</c:v>
                </c:pt>
                <c:pt idx="15">
                  <c:v>0.80081186579529196</c:v>
                </c:pt>
                <c:pt idx="16">
                  <c:v>0.475861023318777</c:v>
                </c:pt>
                <c:pt idx="17">
                  <c:v>0.29824921865325199</c:v>
                </c:pt>
                <c:pt idx="18">
                  <c:v>0.25449429463470202</c:v>
                </c:pt>
                <c:pt idx="19">
                  <c:v>0.101577517940457</c:v>
                </c:pt>
                <c:pt idx="20">
                  <c:v>0.16296291736155999</c:v>
                </c:pt>
                <c:pt idx="21">
                  <c:v>0.18144506511282699</c:v>
                </c:pt>
                <c:pt idx="22">
                  <c:v>0.22844675367945599</c:v>
                </c:pt>
                <c:pt idx="23">
                  <c:v>0.24294364052329401</c:v>
                </c:pt>
                <c:pt idx="24">
                  <c:v>0.25213412004880797</c:v>
                </c:pt>
                <c:pt idx="25">
                  <c:v>0.38414802402447201</c:v>
                </c:pt>
              </c:numCache>
            </c:numRef>
          </c:val>
          <c:extLst xmlns:c16r2="http://schemas.microsoft.com/office/drawing/2015/06/chart">
            <c:ext xmlns:c16="http://schemas.microsoft.com/office/drawing/2014/chart" uri="{C3380CC4-5D6E-409C-BE32-E72D297353CC}">
              <c16:uniqueId val="{00000003-9C97-49BE-A450-D55A45B481AD}"/>
            </c:ext>
          </c:extLst>
        </c:ser>
        <c:dLbls>
          <c:showLegendKey val="0"/>
          <c:showVal val="0"/>
          <c:showCatName val="0"/>
          <c:showSerName val="0"/>
          <c:showPercent val="0"/>
          <c:showBubbleSize val="0"/>
        </c:dLbls>
        <c:gapWidth val="55"/>
        <c:overlap val="100"/>
        <c:axId val="248303304"/>
        <c:axId val="248303696"/>
      </c:barChart>
      <c:catAx>
        <c:axId val="248303304"/>
        <c:scaling>
          <c:orientation val="minMax"/>
        </c:scaling>
        <c:delete val="0"/>
        <c:axPos val="b"/>
        <c:numFmt formatCode="0" sourceLinked="0"/>
        <c:majorTickMark val="none"/>
        <c:minorTickMark val="none"/>
        <c:tickLblPos val="nextTo"/>
        <c:spPr>
          <a:noFill/>
          <a:ln w="12700" cap="flat" cmpd="sng" algn="ctr">
            <a:solidFill>
              <a:schemeClr val="bg2">
                <a:lumMod val="50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charset="0"/>
                <a:ea typeface="Times New Roman" charset="0"/>
                <a:cs typeface="Times New Roman" charset="0"/>
              </a:defRPr>
            </a:pPr>
            <a:endParaRPr lang="es-CL"/>
          </a:p>
        </c:txPr>
        <c:crossAx val="248303696"/>
        <c:crosses val="autoZero"/>
        <c:auto val="1"/>
        <c:lblAlgn val="ctr"/>
        <c:lblOffset val="100"/>
        <c:noMultiLvlLbl val="0"/>
      </c:catAx>
      <c:valAx>
        <c:axId val="248303696"/>
        <c:scaling>
          <c:orientation val="minMax"/>
          <c:max val="2"/>
          <c:min val="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w="12700">
            <a:solidFill>
              <a:schemeClr val="bg2">
                <a:lumMod val="50000"/>
              </a:schemeClr>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charset="0"/>
                <a:ea typeface="Times New Roman" charset="0"/>
                <a:cs typeface="Times New Roman" charset="0"/>
              </a:defRPr>
            </a:pPr>
            <a:endParaRPr lang="es-CL"/>
          </a:p>
        </c:txPr>
        <c:crossAx val="248303304"/>
        <c:crosses val="autoZero"/>
        <c:crossBetween val="between"/>
        <c:majorUnit val="0.2"/>
        <c:minorUnit val="0.2"/>
      </c:valAx>
      <c:spPr>
        <a:noFill/>
        <a:ln>
          <a:noFill/>
        </a:ln>
        <a:effectLst/>
      </c:spPr>
    </c:plotArea>
    <c:legend>
      <c:legendPos val="b"/>
      <c:layout>
        <c:manualLayout>
          <c:xMode val="edge"/>
          <c:yMode val="edge"/>
          <c:x val="0.10336132234656099"/>
          <c:y val="0.85576501990653497"/>
          <c:w val="0.813380220676299"/>
          <c:h val="0.1011308654291520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charset="0"/>
                <a:ea typeface="Times New Roman" charset="0"/>
                <a:cs typeface="Times New Roman" charset="0"/>
              </a:defRPr>
            </a:pPr>
            <a:r>
              <a:rPr lang="en-US" sz="1200" b="1" i="0" baseline="0">
                <a:effectLst/>
              </a:rPr>
              <a:t>Gráfico 2. Inversión minera y resto, 2003-2016</a:t>
            </a:r>
            <a:endParaRPr lang="en-US" sz="1200">
              <a:effectLst/>
            </a:endParaRPr>
          </a:p>
          <a:p>
            <a:pPr>
              <a:defRPr>
                <a:solidFill>
                  <a:sysClr val="windowText" lastClr="000000"/>
                </a:solidFill>
                <a:latin typeface="Times New Roman" charset="0"/>
                <a:ea typeface="Times New Roman" charset="0"/>
                <a:cs typeface="Times New Roman" charset="0"/>
              </a:defRPr>
            </a:pPr>
            <a:r>
              <a:rPr lang="en-US" sz="1200" b="0" i="0" baseline="0">
                <a:effectLst/>
              </a:rPr>
              <a:t>(% del PIB a precios corrientes)</a:t>
            </a:r>
            <a:endParaRPr lang="en-US"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charset="0"/>
              <a:ea typeface="Times New Roman" charset="0"/>
              <a:cs typeface="Times New Roman" charset="0"/>
            </a:defRPr>
          </a:pPr>
          <a:endParaRPr lang="es-CL"/>
        </a:p>
      </c:txPr>
    </c:title>
    <c:autoTitleDeleted val="0"/>
    <c:plotArea>
      <c:layout/>
      <c:lineChart>
        <c:grouping val="standard"/>
        <c:varyColors val="0"/>
        <c:ser>
          <c:idx val="0"/>
          <c:order val="0"/>
          <c:tx>
            <c:v>Inversión minera</c:v>
          </c:tx>
          <c:spPr>
            <a:ln w="28575" cap="rnd">
              <a:solidFill>
                <a:schemeClr val="accent1"/>
              </a:solidFill>
              <a:round/>
            </a:ln>
            <a:effectLst/>
          </c:spPr>
          <c:marker>
            <c:symbol val="none"/>
          </c:marker>
          <c:dPt>
            <c:idx val="1"/>
            <c:marker>
              <c:symbol val="circle"/>
              <c:size val="5"/>
              <c:spPr>
                <a:solidFill>
                  <a:schemeClr val="accent5">
                    <a:lumMod val="50000"/>
                  </a:schemeClr>
                </a:solidFill>
                <a:ln w="9525">
                  <a:solidFill>
                    <a:schemeClr val="accent5">
                      <a:lumMod val="50000"/>
                    </a:schemeClr>
                  </a:solidFill>
                </a:ln>
                <a:effectLst/>
              </c:spPr>
            </c:marker>
            <c:bubble3D val="0"/>
          </c:dPt>
          <c:dPt>
            <c:idx val="9"/>
            <c:marker>
              <c:symbol val="circle"/>
              <c:size val="5"/>
              <c:spPr>
                <a:solidFill>
                  <a:schemeClr val="accent5">
                    <a:lumMod val="50000"/>
                  </a:schemeClr>
                </a:solidFill>
                <a:ln w="9525">
                  <a:solidFill>
                    <a:schemeClr val="accent5">
                      <a:lumMod val="50000"/>
                    </a:schemeClr>
                  </a:solidFill>
                </a:ln>
                <a:effectLst/>
              </c:spPr>
            </c:marker>
            <c:bubble3D val="0"/>
          </c:dPt>
          <c:dPt>
            <c:idx val="13"/>
            <c:marker>
              <c:symbol val="circle"/>
              <c:size val="5"/>
              <c:spPr>
                <a:solidFill>
                  <a:schemeClr val="accent5">
                    <a:lumMod val="50000"/>
                  </a:schemeClr>
                </a:solidFill>
                <a:ln w="9525">
                  <a:solidFill>
                    <a:schemeClr val="accent5">
                      <a:lumMod val="50000"/>
                    </a:schemeClr>
                  </a:solidFill>
                </a:ln>
                <a:effectLst/>
              </c:spPr>
            </c:marker>
            <c:bubble3D val="0"/>
          </c:dPt>
          <c:dLbls>
            <c:dLbl>
              <c:idx val="1"/>
              <c:tx>
                <c:rich>
                  <a:bodyPr/>
                  <a:lstStyle/>
                  <a:p>
                    <a:r>
                      <a:rPr lang="en-US"/>
                      <a:t>2,3</a:t>
                    </a:r>
                  </a:p>
                </c:rich>
              </c:tx>
              <c:dLblPos val="b"/>
              <c:showLegendKey val="0"/>
              <c:showVal val="1"/>
              <c:showCatName val="0"/>
              <c:showSerName val="0"/>
              <c:showPercent val="0"/>
              <c:showBubbleSize val="0"/>
              <c:extLst>
                <c:ext xmlns:c15="http://schemas.microsoft.com/office/drawing/2012/chart" uri="{CE6537A1-D6FC-4f65-9D91-7224C49458BB}"/>
              </c:extLst>
            </c:dLbl>
            <c:dLbl>
              <c:idx val="9"/>
              <c:layout>
                <c:manualLayout>
                  <c:x val="-2.66666666666667E-2"/>
                  <c:y val="-5.39374325782093E-2"/>
                </c:manualLayout>
              </c:layout>
              <c:tx>
                <c:rich>
                  <a:bodyPr/>
                  <a:lstStyle/>
                  <a:p>
                    <a:r>
                      <a:rPr lang="en-US"/>
                      <a:t>7,3</a:t>
                    </a:r>
                  </a:p>
                </c:rich>
              </c:tx>
              <c:dLblPos val="r"/>
              <c:showLegendKey val="0"/>
              <c:showVal val="1"/>
              <c:showCatName val="0"/>
              <c:showSerName val="0"/>
              <c:showPercent val="0"/>
              <c:showBubbleSize val="0"/>
              <c:extLst>
                <c:ext xmlns:c15="http://schemas.microsoft.com/office/drawing/2012/chart" uri="{CE6537A1-D6FC-4f65-9D91-7224C49458BB}"/>
              </c:extLst>
            </c:dLbl>
            <c:dLbl>
              <c:idx val="13"/>
              <c:tx>
                <c:rich>
                  <a:bodyPr/>
                  <a:lstStyle/>
                  <a:p>
                    <a:r>
                      <a:rPr lang="en-US"/>
                      <a:t>4,1</a:t>
                    </a:r>
                  </a:p>
                </c:rich>
              </c:tx>
              <c:dLblPos val="b"/>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'C5 empalme hacia atrás'!$C$5:$C$18</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'C5 empalme hacia atrás'!$F$5:$F$18</c:f>
              <c:numCache>
                <c:formatCode>#,##0.0</c:formatCode>
                <c:ptCount val="14"/>
                <c:pt idx="0">
                  <c:v>3.4885627214103141</c:v>
                </c:pt>
                <c:pt idx="1">
                  <c:v>2.3471092777023199</c:v>
                </c:pt>
                <c:pt idx="2">
                  <c:v>3.1816388691689981</c:v>
                </c:pt>
                <c:pt idx="3">
                  <c:v>3.059696532984264</c:v>
                </c:pt>
                <c:pt idx="4">
                  <c:v>3.004754313316198</c:v>
                </c:pt>
                <c:pt idx="5">
                  <c:v>4.2139870776553767</c:v>
                </c:pt>
                <c:pt idx="6">
                  <c:v>4.0802033794322767</c:v>
                </c:pt>
                <c:pt idx="7">
                  <c:v>4.5574955772543388</c:v>
                </c:pt>
                <c:pt idx="8">
                  <c:v>5.1841674309859958</c:v>
                </c:pt>
                <c:pt idx="9">
                  <c:v>7.2821804838219597</c:v>
                </c:pt>
                <c:pt idx="10">
                  <c:v>7.2166181415487918</c:v>
                </c:pt>
                <c:pt idx="11">
                  <c:v>6.3092239539690302</c:v>
                </c:pt>
                <c:pt idx="12">
                  <c:v>4.9471843344693749</c:v>
                </c:pt>
                <c:pt idx="13">
                  <c:v>4.0741110588674987</c:v>
                </c:pt>
              </c:numCache>
            </c:numRef>
          </c:val>
          <c:smooth val="0"/>
        </c:ser>
        <c:dLbls>
          <c:showLegendKey val="0"/>
          <c:showVal val="0"/>
          <c:showCatName val="0"/>
          <c:showSerName val="0"/>
          <c:showPercent val="0"/>
          <c:showBubbleSize val="0"/>
        </c:dLbls>
        <c:marker val="1"/>
        <c:smooth val="0"/>
        <c:axId val="248113512"/>
        <c:axId val="248165504"/>
      </c:lineChart>
      <c:lineChart>
        <c:grouping val="standard"/>
        <c:varyColors val="0"/>
        <c:ser>
          <c:idx val="1"/>
          <c:order val="1"/>
          <c:tx>
            <c:v>Resto de la inversión</c:v>
          </c:tx>
          <c:spPr>
            <a:ln w="25400" cap="rnd">
              <a:solidFill>
                <a:srgbClr val="C00000"/>
              </a:solidFill>
              <a:prstDash val="sysDash"/>
              <a:round/>
            </a:ln>
            <a:effectLst/>
          </c:spPr>
          <c:marker>
            <c:symbol val="none"/>
          </c:marker>
          <c:dPt>
            <c:idx val="3"/>
            <c:marker>
              <c:symbol val="circle"/>
              <c:size val="5"/>
              <c:spPr>
                <a:solidFill>
                  <a:srgbClr val="FF0000"/>
                </a:solidFill>
                <a:ln w="9525">
                  <a:solidFill>
                    <a:srgbClr val="FF0000"/>
                  </a:solidFill>
                </a:ln>
                <a:effectLst/>
              </c:spPr>
            </c:marker>
            <c:bubble3D val="0"/>
          </c:dPt>
          <c:dPt>
            <c:idx val="5"/>
            <c:marker>
              <c:symbol val="circle"/>
              <c:size val="5"/>
              <c:spPr>
                <a:solidFill>
                  <a:srgbClr val="FF0000"/>
                </a:solidFill>
                <a:ln w="9525">
                  <a:solidFill>
                    <a:srgbClr val="FF0000"/>
                  </a:solidFill>
                </a:ln>
                <a:effectLst/>
              </c:spPr>
            </c:marker>
            <c:bubble3D val="0"/>
          </c:dPt>
          <c:dPt>
            <c:idx val="13"/>
            <c:marker>
              <c:symbol val="circle"/>
              <c:size val="5"/>
              <c:spPr>
                <a:solidFill>
                  <a:srgbClr val="FF0000"/>
                </a:solidFill>
                <a:ln w="9525">
                  <a:solidFill>
                    <a:srgbClr val="FF0000"/>
                  </a:solidFill>
                </a:ln>
                <a:effectLst/>
              </c:spPr>
            </c:marker>
            <c:bubble3D val="0"/>
          </c:dPt>
          <c:dLbls>
            <c:dLbl>
              <c:idx val="3"/>
              <c:tx>
                <c:rich>
                  <a:bodyPr/>
                  <a:lstStyle/>
                  <a:p>
                    <a:r>
                      <a:rPr lang="en-US"/>
                      <a:t>16,8</a:t>
                    </a:r>
                  </a:p>
                </c:rich>
              </c:tx>
              <c:dLblPos val="t"/>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21,3</a:t>
                    </a:r>
                  </a:p>
                </c:rich>
              </c:tx>
              <c:dLblPos val="t"/>
              <c:showLegendKey val="0"/>
              <c:showVal val="1"/>
              <c:showCatName val="0"/>
              <c:showSerName val="0"/>
              <c:showPercent val="0"/>
              <c:showBubbleSize val="0"/>
              <c:extLst>
                <c:ext xmlns:c15="http://schemas.microsoft.com/office/drawing/2012/chart" uri="{CE6537A1-D6FC-4f65-9D91-7224C49458BB}"/>
              </c:extLst>
            </c:dLbl>
            <c:dLbl>
              <c:idx val="13"/>
              <c:tx>
                <c:rich>
                  <a:bodyPr/>
                  <a:lstStyle/>
                  <a:p>
                    <a:r>
                      <a:rPr lang="en-US"/>
                      <a:t>18,8</a:t>
                    </a:r>
                  </a:p>
                </c:rich>
              </c:tx>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'C5 empalme hacia atrás'!$C$5:$C$18</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'C5 empalme hacia atrás'!$N$5:$N$18</c:f>
              <c:numCache>
                <c:formatCode>0.0</c:formatCode>
                <c:ptCount val="14"/>
                <c:pt idx="0">
                  <c:v>17.7</c:v>
                </c:pt>
                <c:pt idx="1">
                  <c:v>18</c:v>
                </c:pt>
                <c:pt idx="2">
                  <c:v>19</c:v>
                </c:pt>
                <c:pt idx="3">
                  <c:v>16.8</c:v>
                </c:pt>
                <c:pt idx="4">
                  <c:v>17.7</c:v>
                </c:pt>
                <c:pt idx="5">
                  <c:v>21.3</c:v>
                </c:pt>
                <c:pt idx="6">
                  <c:v>18.399999999999999</c:v>
                </c:pt>
                <c:pt idx="7">
                  <c:v>17</c:v>
                </c:pt>
                <c:pt idx="8">
                  <c:v>17.899999999999999</c:v>
                </c:pt>
                <c:pt idx="9">
                  <c:v>17.600000000000001</c:v>
                </c:pt>
                <c:pt idx="10">
                  <c:v>17.600000000000001</c:v>
                </c:pt>
                <c:pt idx="11">
                  <c:v>17.5</c:v>
                </c:pt>
                <c:pt idx="12">
                  <c:v>18.899999999999999</c:v>
                </c:pt>
                <c:pt idx="13">
                  <c:v>18.8</c:v>
                </c:pt>
              </c:numCache>
            </c:numRef>
          </c:val>
          <c:smooth val="0"/>
        </c:ser>
        <c:dLbls>
          <c:showLegendKey val="0"/>
          <c:showVal val="0"/>
          <c:showCatName val="0"/>
          <c:showSerName val="0"/>
          <c:showPercent val="0"/>
          <c:showBubbleSize val="0"/>
        </c:dLbls>
        <c:marker val="1"/>
        <c:smooth val="0"/>
        <c:axId val="346384384"/>
        <c:axId val="248163160"/>
      </c:lineChart>
      <c:catAx>
        <c:axId val="248113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crossAx val="248165504"/>
        <c:crosses val="autoZero"/>
        <c:auto val="1"/>
        <c:lblAlgn val="ctr"/>
        <c:lblOffset val="100"/>
        <c:noMultiLvlLbl val="0"/>
      </c:catAx>
      <c:valAx>
        <c:axId val="248165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r>
                  <a:rPr lang="en-US">
                    <a:solidFill>
                      <a:srgbClr val="00B0F0"/>
                    </a:solidFill>
                    <a:latin typeface="Times New Roman" charset="0"/>
                    <a:ea typeface="Times New Roman" charset="0"/>
                    <a:cs typeface="Times New Roman" charset="0"/>
                  </a:rPr>
                  <a:t>Inversión minera</a:t>
                </a:r>
              </a:p>
            </c:rich>
          </c:tx>
          <c:layout>
            <c:manualLayout>
              <c:xMode val="edge"/>
              <c:yMode val="edge"/>
              <c:x val="1.9498800228842199E-2"/>
              <c:y val="0.32118170068523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crossAx val="248113512"/>
        <c:crosses val="autoZero"/>
        <c:crossBetween val="between"/>
      </c:valAx>
      <c:valAx>
        <c:axId val="248163160"/>
        <c:scaling>
          <c:orientation val="minMax"/>
          <c:min val="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r>
                  <a:rPr lang="en-US">
                    <a:solidFill>
                      <a:srgbClr val="FF0000"/>
                    </a:solidFill>
                    <a:latin typeface="Times New Roman" charset="0"/>
                    <a:ea typeface="Times New Roman" charset="0"/>
                    <a:cs typeface="Times New Roman" charset="0"/>
                  </a:rPr>
                  <a:t>Resto de la inversión</a:t>
                </a:r>
              </a:p>
            </c:rich>
          </c:tx>
          <c:layout>
            <c:manualLayout>
              <c:xMode val="edge"/>
              <c:yMode val="edge"/>
              <c:x val="0.942722274327776"/>
              <c:y val="0.28740609684592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crossAx val="346384384"/>
        <c:crosses val="max"/>
        <c:crossBetween val="between"/>
        <c:majorUnit val="10"/>
      </c:valAx>
      <c:catAx>
        <c:axId val="346384384"/>
        <c:scaling>
          <c:orientation val="minMax"/>
        </c:scaling>
        <c:delete val="1"/>
        <c:axPos val="b"/>
        <c:numFmt formatCode="General" sourceLinked="1"/>
        <c:majorTickMark val="out"/>
        <c:minorTickMark val="none"/>
        <c:tickLblPos val="nextTo"/>
        <c:crossAx val="2481631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legend>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charset="0"/>
                <a:ea typeface="Times New Roman" charset="0"/>
                <a:cs typeface="Times New Roman" charset="0"/>
              </a:defRPr>
            </a:pPr>
            <a:r>
              <a:rPr lang="en-US" sz="1200" b="1" baseline="0">
                <a:solidFill>
                  <a:sysClr val="windowText" lastClr="000000"/>
                </a:solidFill>
                <a:latin typeface="Times New Roman" charset="0"/>
                <a:ea typeface="Times New Roman" charset="0"/>
                <a:cs typeface="Times New Roman" charset="0"/>
              </a:rPr>
              <a:t>Gráfico 3. </a:t>
            </a:r>
            <a:r>
              <a:rPr lang="en-US" sz="1200" b="1">
                <a:solidFill>
                  <a:sysClr val="windowText" lastClr="000000"/>
                </a:solidFill>
                <a:latin typeface="Times New Roman" charset="0"/>
                <a:ea typeface="Times New Roman" charset="0"/>
                <a:cs typeface="Times New Roman" charset="0"/>
              </a:rPr>
              <a:t>Stock</a:t>
            </a:r>
            <a:r>
              <a:rPr lang="en-US" sz="1200" b="1" baseline="0">
                <a:solidFill>
                  <a:sysClr val="windowText" lastClr="000000"/>
                </a:solidFill>
                <a:latin typeface="Times New Roman" charset="0"/>
                <a:ea typeface="Times New Roman" charset="0"/>
                <a:cs typeface="Times New Roman" charset="0"/>
              </a:rPr>
              <a:t> de capital por miembro de la fuerza de trabajo, 1974-2017</a:t>
            </a:r>
            <a:br>
              <a:rPr lang="en-US" sz="1200" b="1" baseline="0">
                <a:solidFill>
                  <a:sysClr val="windowText" lastClr="000000"/>
                </a:solidFill>
                <a:latin typeface="Times New Roman" charset="0"/>
                <a:ea typeface="Times New Roman" charset="0"/>
                <a:cs typeface="Times New Roman" charset="0"/>
              </a:rPr>
            </a:br>
            <a:r>
              <a:rPr lang="en-US" sz="1200" baseline="0">
                <a:solidFill>
                  <a:sysClr val="windowText" lastClr="000000"/>
                </a:solidFill>
                <a:latin typeface="Times New Roman" charset="0"/>
                <a:ea typeface="Times New Roman" charset="0"/>
                <a:cs typeface="Times New Roman" charset="0"/>
              </a:rPr>
              <a:t>(M$ de 2013 por miembro de la FT)</a:t>
            </a:r>
            <a:endParaRPr lang="en-US" sz="1200">
              <a:solidFill>
                <a:sysClr val="windowText" lastClr="000000"/>
              </a:solidFill>
              <a:latin typeface="Times New Roman" charset="0"/>
              <a:ea typeface="Times New Roman" charset="0"/>
              <a:cs typeface="Times New Roman"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charset="0"/>
              <a:ea typeface="Times New Roman" charset="0"/>
              <a:cs typeface="Times New Roman" charset="0"/>
            </a:defRPr>
          </a:pPr>
          <a:endParaRPr lang="es-CL"/>
        </a:p>
      </c:txPr>
    </c:title>
    <c:autoTitleDeleted val="0"/>
    <c:plotArea>
      <c:layout>
        <c:manualLayout>
          <c:layoutTarget val="inner"/>
          <c:xMode val="edge"/>
          <c:yMode val="edge"/>
          <c:x val="7.6895830198095996E-2"/>
          <c:y val="0.207618683001531"/>
          <c:w val="0.88455167593846695"/>
          <c:h val="0.68832975606226898"/>
        </c:manualLayout>
      </c:layout>
      <c:lineChart>
        <c:grouping val="standard"/>
        <c:varyColors val="0"/>
        <c:ser>
          <c:idx val="3"/>
          <c:order val="0"/>
          <c:spPr>
            <a:ln w="28575" cap="rnd">
              <a:solidFill>
                <a:schemeClr val="accent4"/>
              </a:solidFill>
              <a:round/>
            </a:ln>
            <a:effectLst/>
          </c:spPr>
          <c:marker>
            <c:symbol val="none"/>
          </c:marker>
          <c:dPt>
            <c:idx val="0"/>
            <c:marker>
              <c:symbol val="none"/>
            </c:marker>
            <c:bubble3D val="0"/>
            <c:spPr>
              <a:ln w="28575" cap="rnd">
                <a:noFill/>
                <a:round/>
              </a:ln>
              <a:effectLst/>
            </c:spPr>
            <c:extLst xmlns:c16r2="http://schemas.microsoft.com/office/drawing/2015/06/chart">
              <c:ext xmlns:c16="http://schemas.microsoft.com/office/drawing/2014/chart" uri="{C3380CC4-5D6E-409C-BE32-E72D297353CC}">
                <c16:uniqueId val="{00000001-392F-46C8-91FA-EB03B5606C95}"/>
              </c:ext>
            </c:extLst>
          </c:dPt>
          <c:dPt>
            <c:idx val="15"/>
            <c:marker>
              <c:symbol val="none"/>
            </c:marker>
            <c:bubble3D val="0"/>
            <c:spPr>
              <a:ln w="28575" cap="rnd">
                <a:solidFill>
                  <a:srgbClr val="002060"/>
                </a:solidFill>
                <a:round/>
              </a:ln>
              <a:effectLst/>
            </c:spPr>
            <c:extLst xmlns:c16r2="http://schemas.microsoft.com/office/drawing/2015/06/chart">
              <c:ext xmlns:c16="http://schemas.microsoft.com/office/drawing/2014/chart" uri="{C3380CC4-5D6E-409C-BE32-E72D297353CC}">
                <c16:uniqueId val="{00000003-392F-46C8-91FA-EB03B5606C95}"/>
              </c:ext>
            </c:extLst>
          </c:dPt>
          <c:dPt>
            <c:idx val="24"/>
            <c:marker>
              <c:symbol val="none"/>
            </c:marker>
            <c:bubble3D val="0"/>
            <c:spPr>
              <a:ln w="28575" cap="rnd">
                <a:solidFill>
                  <a:srgbClr val="002060"/>
                </a:solidFill>
                <a:round/>
              </a:ln>
              <a:effectLst/>
            </c:spPr>
            <c:extLst xmlns:c16r2="http://schemas.microsoft.com/office/drawing/2015/06/chart">
              <c:ext xmlns:c16="http://schemas.microsoft.com/office/drawing/2014/chart" uri="{C3380CC4-5D6E-409C-BE32-E72D297353CC}">
                <c16:uniqueId val="{00000005-392F-46C8-91FA-EB03B5606C95}"/>
              </c:ext>
            </c:extLst>
          </c:dPt>
          <c:cat>
            <c:numRef>
              <c:f>'acta con cruce SKN'!$C$17:$C$60</c:f>
              <c:numCache>
                <c:formatCode>General</c:formatCode>
                <c:ptCount val="44"/>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numCache>
            </c:numRef>
          </c:cat>
          <c:val>
            <c:numRef>
              <c:f>'acta con cruce SKN'!$H$17:$H$60</c:f>
              <c:numCache>
                <c:formatCode>0.0</c:formatCode>
                <c:ptCount val="44"/>
                <c:pt idx="0">
                  <c:v>22.420543252543141</c:v>
                </c:pt>
                <c:pt idx="1">
                  <c:v>22.317808604624169</c:v>
                </c:pt>
                <c:pt idx="2">
                  <c:v>22.022464072162471</c:v>
                </c:pt>
                <c:pt idx="3">
                  <c:v>21.82173758345564</c:v>
                </c:pt>
                <c:pt idx="4">
                  <c:v>21.146073578945799</c:v>
                </c:pt>
                <c:pt idx="5">
                  <c:v>20.949922756790851</c:v>
                </c:pt>
                <c:pt idx="6">
                  <c:v>21.107218913043919</c:v>
                </c:pt>
                <c:pt idx="7">
                  <c:v>21.540820430029981</c:v>
                </c:pt>
                <c:pt idx="8">
                  <c:v>21.339218740544219</c:v>
                </c:pt>
                <c:pt idx="9">
                  <c:v>20.53625781385265</c:v>
                </c:pt>
                <c:pt idx="10">
                  <c:v>20.250692519674221</c:v>
                </c:pt>
                <c:pt idx="11">
                  <c:v>20.034795904453699</c:v>
                </c:pt>
                <c:pt idx="12">
                  <c:v>19.69478523088917</c:v>
                </c:pt>
                <c:pt idx="13">
                  <c:v>19.58112235014908</c:v>
                </c:pt>
                <c:pt idx="14">
                  <c:v>19.195719718692281</c:v>
                </c:pt>
                <c:pt idx="15">
                  <c:v>19.214202505669181</c:v>
                </c:pt>
                <c:pt idx="16">
                  <c:v>19.525235834108209</c:v>
                </c:pt>
                <c:pt idx="17">
                  <c:v>19.79328604849896</c:v>
                </c:pt>
                <c:pt idx="18">
                  <c:v>20.13255286954551</c:v>
                </c:pt>
                <c:pt idx="19">
                  <c:v>20.201575965633278</c:v>
                </c:pt>
                <c:pt idx="20">
                  <c:v>20.828872961941151</c:v>
                </c:pt>
                <c:pt idx="21">
                  <c:v>21.97062289221088</c:v>
                </c:pt>
                <c:pt idx="22">
                  <c:v>23.346764818212929</c:v>
                </c:pt>
                <c:pt idx="23">
                  <c:v>24.581104958019161</c:v>
                </c:pt>
                <c:pt idx="24">
                  <c:v>25.552463228616901</c:v>
                </c:pt>
                <c:pt idx="25">
                  <c:v>25.991146542285119</c:v>
                </c:pt>
                <c:pt idx="26">
                  <c:v>26.791396399959279</c:v>
                </c:pt>
                <c:pt idx="27">
                  <c:v>27.611188242871709</c:v>
                </c:pt>
                <c:pt idx="28">
                  <c:v>28.22560056087508</c:v>
                </c:pt>
                <c:pt idx="29">
                  <c:v>28.391001311897838</c:v>
                </c:pt>
                <c:pt idx="30">
                  <c:v>28.725089376325329</c:v>
                </c:pt>
                <c:pt idx="31">
                  <c:v>29.49068001095084</c:v>
                </c:pt>
                <c:pt idx="32">
                  <c:v>31.08707280373649</c:v>
                </c:pt>
                <c:pt idx="33">
                  <c:v>32.209176848804383</c:v>
                </c:pt>
                <c:pt idx="34">
                  <c:v>33.091985495233018</c:v>
                </c:pt>
                <c:pt idx="35">
                  <c:v>34.129176667690928</c:v>
                </c:pt>
                <c:pt idx="36">
                  <c:v>33.34498776468773</c:v>
                </c:pt>
                <c:pt idx="37">
                  <c:v>34.08119505934706</c:v>
                </c:pt>
                <c:pt idx="38">
                  <c:v>35.902319766893498</c:v>
                </c:pt>
                <c:pt idx="39">
                  <c:v>37.57321597432535</c:v>
                </c:pt>
                <c:pt idx="40">
                  <c:v>38.674435300422367</c:v>
                </c:pt>
                <c:pt idx="41">
                  <c:v>39.813813837600001</c:v>
                </c:pt>
                <c:pt idx="42">
                  <c:v>40.76999030540366</c:v>
                </c:pt>
                <c:pt idx="43">
                  <c:v>41.213062818449771</c:v>
                </c:pt>
              </c:numCache>
            </c:numRef>
          </c:val>
          <c:smooth val="0"/>
          <c:extLst xmlns:c16r2="http://schemas.microsoft.com/office/drawing/2015/06/chart">
            <c:ext xmlns:c16="http://schemas.microsoft.com/office/drawing/2014/chart" uri="{C3380CC4-5D6E-409C-BE32-E72D297353CC}">
              <c16:uniqueId val="{00000006-392F-46C8-91FA-EB03B5606C95}"/>
            </c:ext>
          </c:extLst>
        </c:ser>
        <c:ser>
          <c:idx val="4"/>
          <c:order val="1"/>
          <c:spPr>
            <a:ln w="28575" cap="rnd">
              <a:solidFill>
                <a:schemeClr val="accent1"/>
              </a:solidFill>
              <a:round/>
            </a:ln>
            <a:effectLst/>
          </c:spPr>
          <c:marker>
            <c:symbol val="none"/>
          </c:marker>
          <c:dPt>
            <c:idx val="0"/>
            <c:marker>
              <c:symbol val="none"/>
            </c:marker>
            <c:bubble3D val="0"/>
            <c:spPr>
              <a:ln w="28575" cap="rnd">
                <a:noFill/>
                <a:round/>
              </a:ln>
              <a:effectLst/>
            </c:spPr>
            <c:extLst xmlns:c16r2="http://schemas.microsoft.com/office/drawing/2015/06/chart">
              <c:ext xmlns:c16="http://schemas.microsoft.com/office/drawing/2014/chart" uri="{C3380CC4-5D6E-409C-BE32-E72D297353CC}">
                <c16:uniqueId val="{00000008-392F-46C8-91FA-EB03B5606C95}"/>
              </c:ext>
            </c:extLst>
          </c:dPt>
          <c:dPt>
            <c:idx val="15"/>
            <c:marker>
              <c:symbol val="none"/>
            </c:marker>
            <c:bubble3D val="0"/>
            <c:spPr>
              <a:ln w="28575" cap="rnd">
                <a:solidFill>
                  <a:srgbClr val="002060"/>
                </a:solidFill>
                <a:round/>
              </a:ln>
              <a:effectLst/>
            </c:spPr>
            <c:extLst xmlns:c16r2="http://schemas.microsoft.com/office/drawing/2015/06/chart">
              <c:ext xmlns:c16="http://schemas.microsoft.com/office/drawing/2014/chart" uri="{C3380CC4-5D6E-409C-BE32-E72D297353CC}">
                <c16:uniqueId val="{0000000A-392F-46C8-91FA-EB03B5606C95}"/>
              </c:ext>
            </c:extLst>
          </c:dPt>
          <c:dPt>
            <c:idx val="24"/>
            <c:marker>
              <c:symbol val="none"/>
            </c:marker>
            <c:bubble3D val="0"/>
            <c:spPr>
              <a:ln w="28575" cap="rnd">
                <a:solidFill>
                  <a:srgbClr val="002060"/>
                </a:solidFill>
                <a:round/>
              </a:ln>
              <a:effectLst/>
            </c:spPr>
            <c:extLst xmlns:c16r2="http://schemas.microsoft.com/office/drawing/2015/06/chart">
              <c:ext xmlns:c16="http://schemas.microsoft.com/office/drawing/2014/chart" uri="{C3380CC4-5D6E-409C-BE32-E72D297353CC}">
                <c16:uniqueId val="{0000000C-392F-46C8-91FA-EB03B5606C95}"/>
              </c:ext>
            </c:extLst>
          </c:dPt>
          <c:cat>
            <c:numRef>
              <c:f>'acta con cruce SKN'!$C$17:$C$60</c:f>
              <c:numCache>
                <c:formatCode>General</c:formatCode>
                <c:ptCount val="44"/>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numCache>
            </c:numRef>
          </c:cat>
          <c:val>
            <c:numRef>
              <c:f>'acta con cruce SKN'!$H$17:$H$60</c:f>
              <c:numCache>
                <c:formatCode>0.0</c:formatCode>
                <c:ptCount val="44"/>
                <c:pt idx="0">
                  <c:v>22.420543252543141</c:v>
                </c:pt>
                <c:pt idx="1">
                  <c:v>22.317808604624169</c:v>
                </c:pt>
                <c:pt idx="2">
                  <c:v>22.022464072162471</c:v>
                </c:pt>
                <c:pt idx="3">
                  <c:v>21.82173758345564</c:v>
                </c:pt>
                <c:pt idx="4">
                  <c:v>21.146073578945799</c:v>
                </c:pt>
                <c:pt idx="5">
                  <c:v>20.949922756790851</c:v>
                </c:pt>
                <c:pt idx="6">
                  <c:v>21.107218913043919</c:v>
                </c:pt>
                <c:pt idx="7">
                  <c:v>21.540820430029981</c:v>
                </c:pt>
                <c:pt idx="8">
                  <c:v>21.339218740544219</c:v>
                </c:pt>
                <c:pt idx="9">
                  <c:v>20.53625781385265</c:v>
                </c:pt>
                <c:pt idx="10">
                  <c:v>20.250692519674221</c:v>
                </c:pt>
                <c:pt idx="11">
                  <c:v>20.034795904453699</c:v>
                </c:pt>
                <c:pt idx="12">
                  <c:v>19.69478523088917</c:v>
                </c:pt>
                <c:pt idx="13">
                  <c:v>19.58112235014908</c:v>
                </c:pt>
                <c:pt idx="14">
                  <c:v>19.195719718692281</c:v>
                </c:pt>
                <c:pt idx="15">
                  <c:v>19.214202505669181</c:v>
                </c:pt>
                <c:pt idx="16">
                  <c:v>19.525235834108209</c:v>
                </c:pt>
                <c:pt idx="17">
                  <c:v>19.79328604849896</c:v>
                </c:pt>
                <c:pt idx="18">
                  <c:v>20.13255286954551</c:v>
                </c:pt>
                <c:pt idx="19">
                  <c:v>20.201575965633278</c:v>
                </c:pt>
                <c:pt idx="20">
                  <c:v>20.828872961941151</c:v>
                </c:pt>
                <c:pt idx="21">
                  <c:v>21.97062289221088</c:v>
                </c:pt>
                <c:pt idx="22">
                  <c:v>23.346764818212929</c:v>
                </c:pt>
                <c:pt idx="23">
                  <c:v>24.581104958019161</c:v>
                </c:pt>
                <c:pt idx="24">
                  <c:v>25.552463228616901</c:v>
                </c:pt>
                <c:pt idx="25">
                  <c:v>25.991146542285119</c:v>
                </c:pt>
                <c:pt idx="26">
                  <c:v>26.791396399959279</c:v>
                </c:pt>
                <c:pt idx="27">
                  <c:v>27.611188242871709</c:v>
                </c:pt>
                <c:pt idx="28">
                  <c:v>28.22560056087508</c:v>
                </c:pt>
                <c:pt idx="29">
                  <c:v>28.391001311897838</c:v>
                </c:pt>
                <c:pt idx="30">
                  <c:v>28.725089376325329</c:v>
                </c:pt>
                <c:pt idx="31">
                  <c:v>29.49068001095084</c:v>
                </c:pt>
                <c:pt idx="32">
                  <c:v>31.08707280373649</c:v>
                </c:pt>
                <c:pt idx="33">
                  <c:v>32.209176848804383</c:v>
                </c:pt>
                <c:pt idx="34">
                  <c:v>33.091985495233018</c:v>
                </c:pt>
                <c:pt idx="35">
                  <c:v>34.129176667690928</c:v>
                </c:pt>
                <c:pt idx="36">
                  <c:v>33.34498776468773</c:v>
                </c:pt>
                <c:pt idx="37">
                  <c:v>34.08119505934706</c:v>
                </c:pt>
                <c:pt idx="38">
                  <c:v>35.902319766893498</c:v>
                </c:pt>
                <c:pt idx="39">
                  <c:v>37.57321597432535</c:v>
                </c:pt>
                <c:pt idx="40">
                  <c:v>38.674435300422367</c:v>
                </c:pt>
                <c:pt idx="41">
                  <c:v>39.813813837600001</c:v>
                </c:pt>
                <c:pt idx="42">
                  <c:v>40.76999030540366</c:v>
                </c:pt>
                <c:pt idx="43">
                  <c:v>41.213062818449771</c:v>
                </c:pt>
              </c:numCache>
            </c:numRef>
          </c:val>
          <c:smooth val="0"/>
          <c:extLst xmlns:c16r2="http://schemas.microsoft.com/office/drawing/2015/06/chart">
            <c:ext xmlns:c16="http://schemas.microsoft.com/office/drawing/2014/chart" uri="{C3380CC4-5D6E-409C-BE32-E72D297353CC}">
              <c16:uniqueId val="{0000000D-392F-46C8-91FA-EB03B5606C95}"/>
            </c:ext>
          </c:extLst>
        </c:ser>
        <c:ser>
          <c:idx val="5"/>
          <c:order val="2"/>
          <c:spPr>
            <a:ln w="28575" cap="rnd">
              <a:solidFill>
                <a:schemeClr val="accent1"/>
              </a:solidFill>
              <a:round/>
            </a:ln>
            <a:effectLst/>
          </c:spPr>
          <c:marker>
            <c:symbol val="none"/>
          </c:marker>
          <c:dPt>
            <c:idx val="0"/>
            <c:marker>
              <c:symbol val="none"/>
            </c:marker>
            <c:bubble3D val="0"/>
            <c:spPr>
              <a:ln w="28575" cap="rnd">
                <a:noFill/>
                <a:round/>
              </a:ln>
              <a:effectLst/>
            </c:spPr>
            <c:extLst xmlns:c16r2="http://schemas.microsoft.com/office/drawing/2015/06/chart">
              <c:ext xmlns:c16="http://schemas.microsoft.com/office/drawing/2014/chart" uri="{C3380CC4-5D6E-409C-BE32-E72D297353CC}">
                <c16:uniqueId val="{0000000F-392F-46C8-91FA-EB03B5606C95}"/>
              </c:ext>
            </c:extLst>
          </c:dPt>
          <c:dPt>
            <c:idx val="15"/>
            <c:marker>
              <c:symbol val="none"/>
            </c:marker>
            <c:bubble3D val="0"/>
            <c:spPr>
              <a:ln w="28575" cap="rnd">
                <a:solidFill>
                  <a:srgbClr val="002060"/>
                </a:solidFill>
                <a:round/>
              </a:ln>
              <a:effectLst/>
            </c:spPr>
            <c:extLst xmlns:c16r2="http://schemas.microsoft.com/office/drawing/2015/06/chart">
              <c:ext xmlns:c16="http://schemas.microsoft.com/office/drawing/2014/chart" uri="{C3380CC4-5D6E-409C-BE32-E72D297353CC}">
                <c16:uniqueId val="{00000011-392F-46C8-91FA-EB03B5606C95}"/>
              </c:ext>
            </c:extLst>
          </c:dPt>
          <c:dPt>
            <c:idx val="24"/>
            <c:marker>
              <c:symbol val="none"/>
            </c:marker>
            <c:bubble3D val="0"/>
            <c:spPr>
              <a:ln w="28575" cap="rnd">
                <a:solidFill>
                  <a:srgbClr val="002060"/>
                </a:solidFill>
                <a:round/>
              </a:ln>
              <a:effectLst/>
            </c:spPr>
            <c:extLst xmlns:c16r2="http://schemas.microsoft.com/office/drawing/2015/06/chart">
              <c:ext xmlns:c16="http://schemas.microsoft.com/office/drawing/2014/chart" uri="{C3380CC4-5D6E-409C-BE32-E72D297353CC}">
                <c16:uniqueId val="{00000013-392F-46C8-91FA-EB03B5606C95}"/>
              </c:ext>
            </c:extLst>
          </c:dPt>
          <c:cat>
            <c:numRef>
              <c:f>'acta con cruce SKN'!$C$17:$C$60</c:f>
              <c:numCache>
                <c:formatCode>General</c:formatCode>
                <c:ptCount val="44"/>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numCache>
            </c:numRef>
          </c:cat>
          <c:val>
            <c:numRef>
              <c:f>'acta con cruce SKN'!$H$17:$H$60</c:f>
              <c:numCache>
                <c:formatCode>0.0</c:formatCode>
                <c:ptCount val="44"/>
                <c:pt idx="0">
                  <c:v>22.420543252543141</c:v>
                </c:pt>
                <c:pt idx="1">
                  <c:v>22.317808604624169</c:v>
                </c:pt>
                <c:pt idx="2">
                  <c:v>22.022464072162471</c:v>
                </c:pt>
                <c:pt idx="3">
                  <c:v>21.82173758345564</c:v>
                </c:pt>
                <c:pt idx="4">
                  <c:v>21.146073578945799</c:v>
                </c:pt>
                <c:pt idx="5">
                  <c:v>20.949922756790851</c:v>
                </c:pt>
                <c:pt idx="6">
                  <c:v>21.107218913043919</c:v>
                </c:pt>
                <c:pt idx="7">
                  <c:v>21.540820430029981</c:v>
                </c:pt>
                <c:pt idx="8">
                  <c:v>21.339218740544219</c:v>
                </c:pt>
                <c:pt idx="9">
                  <c:v>20.53625781385265</c:v>
                </c:pt>
                <c:pt idx="10">
                  <c:v>20.250692519674221</c:v>
                </c:pt>
                <c:pt idx="11">
                  <c:v>20.034795904453699</c:v>
                </c:pt>
                <c:pt idx="12">
                  <c:v>19.69478523088917</c:v>
                </c:pt>
                <c:pt idx="13">
                  <c:v>19.58112235014908</c:v>
                </c:pt>
                <c:pt idx="14">
                  <c:v>19.195719718692281</c:v>
                </c:pt>
                <c:pt idx="15">
                  <c:v>19.214202505669181</c:v>
                </c:pt>
                <c:pt idx="16">
                  <c:v>19.525235834108209</c:v>
                </c:pt>
                <c:pt idx="17">
                  <c:v>19.79328604849896</c:v>
                </c:pt>
                <c:pt idx="18">
                  <c:v>20.13255286954551</c:v>
                </c:pt>
                <c:pt idx="19">
                  <c:v>20.201575965633278</c:v>
                </c:pt>
                <c:pt idx="20">
                  <c:v>20.828872961941151</c:v>
                </c:pt>
                <c:pt idx="21">
                  <c:v>21.97062289221088</c:v>
                </c:pt>
                <c:pt idx="22">
                  <c:v>23.346764818212929</c:v>
                </c:pt>
                <c:pt idx="23">
                  <c:v>24.581104958019161</c:v>
                </c:pt>
                <c:pt idx="24">
                  <c:v>25.552463228616901</c:v>
                </c:pt>
                <c:pt idx="25">
                  <c:v>25.991146542285119</c:v>
                </c:pt>
                <c:pt idx="26">
                  <c:v>26.791396399959279</c:v>
                </c:pt>
                <c:pt idx="27">
                  <c:v>27.611188242871709</c:v>
                </c:pt>
                <c:pt idx="28">
                  <c:v>28.22560056087508</c:v>
                </c:pt>
                <c:pt idx="29">
                  <c:v>28.391001311897838</c:v>
                </c:pt>
                <c:pt idx="30">
                  <c:v>28.725089376325329</c:v>
                </c:pt>
                <c:pt idx="31">
                  <c:v>29.49068001095084</c:v>
                </c:pt>
                <c:pt idx="32">
                  <c:v>31.08707280373649</c:v>
                </c:pt>
                <c:pt idx="33">
                  <c:v>32.209176848804383</c:v>
                </c:pt>
                <c:pt idx="34">
                  <c:v>33.091985495233018</c:v>
                </c:pt>
                <c:pt idx="35">
                  <c:v>34.129176667690928</c:v>
                </c:pt>
                <c:pt idx="36">
                  <c:v>33.34498776468773</c:v>
                </c:pt>
                <c:pt idx="37">
                  <c:v>34.08119505934706</c:v>
                </c:pt>
                <c:pt idx="38">
                  <c:v>35.902319766893498</c:v>
                </c:pt>
                <c:pt idx="39">
                  <c:v>37.57321597432535</c:v>
                </c:pt>
                <c:pt idx="40">
                  <c:v>38.674435300422367</c:v>
                </c:pt>
                <c:pt idx="41">
                  <c:v>39.813813837600001</c:v>
                </c:pt>
                <c:pt idx="42">
                  <c:v>40.76999030540366</c:v>
                </c:pt>
                <c:pt idx="43">
                  <c:v>41.213062818449771</c:v>
                </c:pt>
              </c:numCache>
            </c:numRef>
          </c:val>
          <c:smooth val="0"/>
          <c:extLst xmlns:c16r2="http://schemas.microsoft.com/office/drawing/2015/06/chart">
            <c:ext xmlns:c16="http://schemas.microsoft.com/office/drawing/2014/chart" uri="{C3380CC4-5D6E-409C-BE32-E72D297353CC}">
              <c16:uniqueId val="{00000014-392F-46C8-91FA-EB03B5606C95}"/>
            </c:ext>
          </c:extLst>
        </c:ser>
        <c:ser>
          <c:idx val="1"/>
          <c:order val="3"/>
          <c:spPr>
            <a:ln w="28575" cap="rnd">
              <a:solidFill>
                <a:schemeClr val="accent2"/>
              </a:solidFill>
              <a:round/>
            </a:ln>
            <a:effectLst/>
          </c:spPr>
          <c:marker>
            <c:symbol val="none"/>
          </c:marker>
          <c:dPt>
            <c:idx val="0"/>
            <c:marker>
              <c:symbol val="none"/>
            </c:marker>
            <c:bubble3D val="0"/>
            <c:spPr>
              <a:ln w="28575" cap="rnd">
                <a:noFill/>
                <a:round/>
              </a:ln>
              <a:effectLst/>
            </c:spPr>
            <c:extLst xmlns:c16r2="http://schemas.microsoft.com/office/drawing/2015/06/chart">
              <c:ext xmlns:c16="http://schemas.microsoft.com/office/drawing/2014/chart" uri="{C3380CC4-5D6E-409C-BE32-E72D297353CC}">
                <c16:uniqueId val="{00000016-392F-46C8-91FA-EB03B5606C95}"/>
              </c:ext>
            </c:extLst>
          </c:dPt>
          <c:dPt>
            <c:idx val="15"/>
            <c:marker>
              <c:symbol val="none"/>
            </c:marker>
            <c:bubble3D val="0"/>
            <c:spPr>
              <a:ln w="28575" cap="rnd">
                <a:solidFill>
                  <a:srgbClr val="002060"/>
                </a:solidFill>
                <a:round/>
              </a:ln>
              <a:effectLst/>
            </c:spPr>
            <c:extLst xmlns:c16r2="http://schemas.microsoft.com/office/drawing/2015/06/chart">
              <c:ext xmlns:c16="http://schemas.microsoft.com/office/drawing/2014/chart" uri="{C3380CC4-5D6E-409C-BE32-E72D297353CC}">
                <c16:uniqueId val="{00000018-392F-46C8-91FA-EB03B5606C95}"/>
              </c:ext>
            </c:extLst>
          </c:dPt>
          <c:dPt>
            <c:idx val="24"/>
            <c:marker>
              <c:symbol val="none"/>
            </c:marker>
            <c:bubble3D val="0"/>
            <c:spPr>
              <a:ln w="28575" cap="rnd">
                <a:solidFill>
                  <a:srgbClr val="002060"/>
                </a:solidFill>
                <a:round/>
              </a:ln>
              <a:effectLst/>
            </c:spPr>
            <c:extLst xmlns:c16r2="http://schemas.microsoft.com/office/drawing/2015/06/chart">
              <c:ext xmlns:c16="http://schemas.microsoft.com/office/drawing/2014/chart" uri="{C3380CC4-5D6E-409C-BE32-E72D297353CC}">
                <c16:uniqueId val="{0000001A-392F-46C8-91FA-EB03B5606C95}"/>
              </c:ext>
            </c:extLst>
          </c:dPt>
          <c:cat>
            <c:numRef>
              <c:f>'acta con cruce SKN'!$C$17:$C$60</c:f>
              <c:numCache>
                <c:formatCode>General</c:formatCode>
                <c:ptCount val="44"/>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numCache>
            </c:numRef>
          </c:cat>
          <c:val>
            <c:numRef>
              <c:f>'acta con cruce SKN'!$H$17:$H$60</c:f>
              <c:numCache>
                <c:formatCode>0.0</c:formatCode>
                <c:ptCount val="44"/>
                <c:pt idx="0">
                  <c:v>22.420543252543141</c:v>
                </c:pt>
                <c:pt idx="1">
                  <c:v>22.317808604624169</c:v>
                </c:pt>
                <c:pt idx="2">
                  <c:v>22.022464072162471</c:v>
                </c:pt>
                <c:pt idx="3">
                  <c:v>21.82173758345564</c:v>
                </c:pt>
                <c:pt idx="4">
                  <c:v>21.146073578945799</c:v>
                </c:pt>
                <c:pt idx="5">
                  <c:v>20.949922756790851</c:v>
                </c:pt>
                <c:pt idx="6">
                  <c:v>21.107218913043919</c:v>
                </c:pt>
                <c:pt idx="7">
                  <c:v>21.540820430029981</c:v>
                </c:pt>
                <c:pt idx="8">
                  <c:v>21.339218740544219</c:v>
                </c:pt>
                <c:pt idx="9">
                  <c:v>20.53625781385265</c:v>
                </c:pt>
                <c:pt idx="10">
                  <c:v>20.250692519674221</c:v>
                </c:pt>
                <c:pt idx="11">
                  <c:v>20.034795904453699</c:v>
                </c:pt>
                <c:pt idx="12">
                  <c:v>19.69478523088917</c:v>
                </c:pt>
                <c:pt idx="13">
                  <c:v>19.58112235014908</c:v>
                </c:pt>
                <c:pt idx="14">
                  <c:v>19.195719718692281</c:v>
                </c:pt>
                <c:pt idx="15">
                  <c:v>19.214202505669181</c:v>
                </c:pt>
                <c:pt idx="16">
                  <c:v>19.525235834108209</c:v>
                </c:pt>
                <c:pt idx="17">
                  <c:v>19.79328604849896</c:v>
                </c:pt>
                <c:pt idx="18">
                  <c:v>20.13255286954551</c:v>
                </c:pt>
                <c:pt idx="19">
                  <c:v>20.201575965633278</c:v>
                </c:pt>
                <c:pt idx="20">
                  <c:v>20.828872961941151</c:v>
                </c:pt>
                <c:pt idx="21">
                  <c:v>21.97062289221088</c:v>
                </c:pt>
                <c:pt idx="22">
                  <c:v>23.346764818212929</c:v>
                </c:pt>
                <c:pt idx="23">
                  <c:v>24.581104958019161</c:v>
                </c:pt>
                <c:pt idx="24">
                  <c:v>25.552463228616901</c:v>
                </c:pt>
                <c:pt idx="25">
                  <c:v>25.991146542285119</c:v>
                </c:pt>
                <c:pt idx="26">
                  <c:v>26.791396399959279</c:v>
                </c:pt>
                <c:pt idx="27">
                  <c:v>27.611188242871709</c:v>
                </c:pt>
                <c:pt idx="28">
                  <c:v>28.22560056087508</c:v>
                </c:pt>
                <c:pt idx="29">
                  <c:v>28.391001311897838</c:v>
                </c:pt>
                <c:pt idx="30">
                  <c:v>28.725089376325329</c:v>
                </c:pt>
                <c:pt idx="31">
                  <c:v>29.49068001095084</c:v>
                </c:pt>
                <c:pt idx="32">
                  <c:v>31.08707280373649</c:v>
                </c:pt>
                <c:pt idx="33">
                  <c:v>32.209176848804383</c:v>
                </c:pt>
                <c:pt idx="34">
                  <c:v>33.091985495233018</c:v>
                </c:pt>
                <c:pt idx="35">
                  <c:v>34.129176667690928</c:v>
                </c:pt>
                <c:pt idx="36">
                  <c:v>33.34498776468773</c:v>
                </c:pt>
                <c:pt idx="37">
                  <c:v>34.08119505934706</c:v>
                </c:pt>
                <c:pt idx="38">
                  <c:v>35.902319766893498</c:v>
                </c:pt>
                <c:pt idx="39">
                  <c:v>37.57321597432535</c:v>
                </c:pt>
                <c:pt idx="40">
                  <c:v>38.674435300422367</c:v>
                </c:pt>
                <c:pt idx="41">
                  <c:v>39.813813837600001</c:v>
                </c:pt>
                <c:pt idx="42">
                  <c:v>40.76999030540366</c:v>
                </c:pt>
                <c:pt idx="43">
                  <c:v>41.213062818449771</c:v>
                </c:pt>
              </c:numCache>
            </c:numRef>
          </c:val>
          <c:smooth val="0"/>
          <c:extLst xmlns:c16r2="http://schemas.microsoft.com/office/drawing/2015/06/chart">
            <c:ext xmlns:c16="http://schemas.microsoft.com/office/drawing/2014/chart" uri="{C3380CC4-5D6E-409C-BE32-E72D297353CC}">
              <c16:uniqueId val="{0000001B-392F-46C8-91FA-EB03B5606C95}"/>
            </c:ext>
          </c:extLst>
        </c:ser>
        <c:ser>
          <c:idx val="2"/>
          <c:order val="4"/>
          <c:spPr>
            <a:ln w="28575" cap="rnd">
              <a:solidFill>
                <a:schemeClr val="accent1"/>
              </a:solidFill>
              <a:round/>
            </a:ln>
            <a:effectLst/>
          </c:spPr>
          <c:marker>
            <c:symbol val="none"/>
          </c:marker>
          <c:dPt>
            <c:idx val="0"/>
            <c:marker>
              <c:symbol val="none"/>
            </c:marker>
            <c:bubble3D val="0"/>
            <c:spPr>
              <a:ln w="28575" cap="rnd">
                <a:noFill/>
                <a:round/>
              </a:ln>
              <a:effectLst/>
            </c:spPr>
            <c:extLst xmlns:c16r2="http://schemas.microsoft.com/office/drawing/2015/06/chart">
              <c:ext xmlns:c16="http://schemas.microsoft.com/office/drawing/2014/chart" uri="{C3380CC4-5D6E-409C-BE32-E72D297353CC}">
                <c16:uniqueId val="{0000001D-392F-46C8-91FA-EB03B5606C95}"/>
              </c:ext>
            </c:extLst>
          </c:dPt>
          <c:dPt>
            <c:idx val="15"/>
            <c:marker>
              <c:symbol val="none"/>
            </c:marker>
            <c:bubble3D val="0"/>
            <c:spPr>
              <a:ln w="28575" cap="rnd">
                <a:solidFill>
                  <a:srgbClr val="002060"/>
                </a:solidFill>
                <a:round/>
              </a:ln>
              <a:effectLst/>
            </c:spPr>
            <c:extLst xmlns:c16r2="http://schemas.microsoft.com/office/drawing/2015/06/chart">
              <c:ext xmlns:c16="http://schemas.microsoft.com/office/drawing/2014/chart" uri="{C3380CC4-5D6E-409C-BE32-E72D297353CC}">
                <c16:uniqueId val="{0000001F-392F-46C8-91FA-EB03B5606C95}"/>
              </c:ext>
            </c:extLst>
          </c:dPt>
          <c:dPt>
            <c:idx val="24"/>
            <c:marker>
              <c:symbol val="none"/>
            </c:marker>
            <c:bubble3D val="0"/>
            <c:spPr>
              <a:ln w="28575" cap="rnd">
                <a:solidFill>
                  <a:srgbClr val="002060"/>
                </a:solidFill>
                <a:round/>
              </a:ln>
              <a:effectLst/>
            </c:spPr>
            <c:extLst xmlns:c16r2="http://schemas.microsoft.com/office/drawing/2015/06/chart">
              <c:ext xmlns:c16="http://schemas.microsoft.com/office/drawing/2014/chart" uri="{C3380CC4-5D6E-409C-BE32-E72D297353CC}">
                <c16:uniqueId val="{00000021-392F-46C8-91FA-EB03B5606C95}"/>
              </c:ext>
            </c:extLst>
          </c:dPt>
          <c:cat>
            <c:numRef>
              <c:f>'acta con cruce SKN'!$C$17:$C$60</c:f>
              <c:numCache>
                <c:formatCode>General</c:formatCode>
                <c:ptCount val="44"/>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numCache>
            </c:numRef>
          </c:cat>
          <c:val>
            <c:numRef>
              <c:f>'acta con cruce SKN'!$H$17:$H$60</c:f>
              <c:numCache>
                <c:formatCode>0.0</c:formatCode>
                <c:ptCount val="44"/>
                <c:pt idx="0">
                  <c:v>22.420543252543141</c:v>
                </c:pt>
                <c:pt idx="1">
                  <c:v>22.317808604624169</c:v>
                </c:pt>
                <c:pt idx="2">
                  <c:v>22.022464072162471</c:v>
                </c:pt>
                <c:pt idx="3">
                  <c:v>21.82173758345564</c:v>
                </c:pt>
                <c:pt idx="4">
                  <c:v>21.146073578945799</c:v>
                </c:pt>
                <c:pt idx="5">
                  <c:v>20.949922756790851</c:v>
                </c:pt>
                <c:pt idx="6">
                  <c:v>21.107218913043919</c:v>
                </c:pt>
                <c:pt idx="7">
                  <c:v>21.540820430029981</c:v>
                </c:pt>
                <c:pt idx="8">
                  <c:v>21.339218740544219</c:v>
                </c:pt>
                <c:pt idx="9">
                  <c:v>20.53625781385265</c:v>
                </c:pt>
                <c:pt idx="10">
                  <c:v>20.250692519674221</c:v>
                </c:pt>
                <c:pt idx="11">
                  <c:v>20.034795904453699</c:v>
                </c:pt>
                <c:pt idx="12">
                  <c:v>19.69478523088917</c:v>
                </c:pt>
                <c:pt idx="13">
                  <c:v>19.58112235014908</c:v>
                </c:pt>
                <c:pt idx="14">
                  <c:v>19.195719718692281</c:v>
                </c:pt>
                <c:pt idx="15">
                  <c:v>19.214202505669181</c:v>
                </c:pt>
                <c:pt idx="16">
                  <c:v>19.525235834108209</c:v>
                </c:pt>
                <c:pt idx="17">
                  <c:v>19.79328604849896</c:v>
                </c:pt>
                <c:pt idx="18">
                  <c:v>20.13255286954551</c:v>
                </c:pt>
                <c:pt idx="19">
                  <c:v>20.201575965633278</c:v>
                </c:pt>
                <c:pt idx="20">
                  <c:v>20.828872961941151</c:v>
                </c:pt>
                <c:pt idx="21">
                  <c:v>21.97062289221088</c:v>
                </c:pt>
                <c:pt idx="22">
                  <c:v>23.346764818212929</c:v>
                </c:pt>
                <c:pt idx="23">
                  <c:v>24.581104958019161</c:v>
                </c:pt>
                <c:pt idx="24">
                  <c:v>25.552463228616901</c:v>
                </c:pt>
                <c:pt idx="25">
                  <c:v>25.991146542285119</c:v>
                </c:pt>
                <c:pt idx="26">
                  <c:v>26.791396399959279</c:v>
                </c:pt>
                <c:pt idx="27">
                  <c:v>27.611188242871709</c:v>
                </c:pt>
                <c:pt idx="28">
                  <c:v>28.22560056087508</c:v>
                </c:pt>
                <c:pt idx="29">
                  <c:v>28.391001311897838</c:v>
                </c:pt>
                <c:pt idx="30">
                  <c:v>28.725089376325329</c:v>
                </c:pt>
                <c:pt idx="31">
                  <c:v>29.49068001095084</c:v>
                </c:pt>
                <c:pt idx="32">
                  <c:v>31.08707280373649</c:v>
                </c:pt>
                <c:pt idx="33">
                  <c:v>32.209176848804383</c:v>
                </c:pt>
                <c:pt idx="34">
                  <c:v>33.091985495233018</c:v>
                </c:pt>
                <c:pt idx="35">
                  <c:v>34.129176667690928</c:v>
                </c:pt>
                <c:pt idx="36">
                  <c:v>33.34498776468773</c:v>
                </c:pt>
                <c:pt idx="37">
                  <c:v>34.08119505934706</c:v>
                </c:pt>
                <c:pt idx="38">
                  <c:v>35.902319766893498</c:v>
                </c:pt>
                <c:pt idx="39">
                  <c:v>37.57321597432535</c:v>
                </c:pt>
                <c:pt idx="40">
                  <c:v>38.674435300422367</c:v>
                </c:pt>
                <c:pt idx="41">
                  <c:v>39.813813837600001</c:v>
                </c:pt>
                <c:pt idx="42">
                  <c:v>40.76999030540366</c:v>
                </c:pt>
                <c:pt idx="43">
                  <c:v>41.213062818449771</c:v>
                </c:pt>
              </c:numCache>
            </c:numRef>
          </c:val>
          <c:smooth val="0"/>
          <c:extLst xmlns:c16r2="http://schemas.microsoft.com/office/drawing/2015/06/chart">
            <c:ext xmlns:c16="http://schemas.microsoft.com/office/drawing/2014/chart" uri="{C3380CC4-5D6E-409C-BE32-E72D297353CC}">
              <c16:uniqueId val="{00000022-392F-46C8-91FA-EB03B5606C95}"/>
            </c:ext>
          </c:extLst>
        </c:ser>
        <c:ser>
          <c:idx val="0"/>
          <c:order val="5"/>
          <c:spPr>
            <a:ln w="28575" cap="rnd">
              <a:solidFill>
                <a:schemeClr val="accent1"/>
              </a:solidFill>
              <a:round/>
            </a:ln>
            <a:effectLst/>
          </c:spPr>
          <c:marker>
            <c:symbol val="none"/>
          </c:marker>
          <c:dPt>
            <c:idx val="0"/>
            <c:marker>
              <c:symbol val="circle"/>
              <c:size val="6"/>
              <c:spPr>
                <a:solidFill>
                  <a:srgbClr val="002060"/>
                </a:solidFill>
                <a:ln w="9525">
                  <a:solidFill>
                    <a:srgbClr val="002060"/>
                  </a:solidFill>
                </a:ln>
                <a:effectLst/>
              </c:spPr>
            </c:marker>
            <c:bubble3D val="0"/>
            <c:spPr>
              <a:ln w="28575" cap="rnd">
                <a:noFill/>
                <a:round/>
              </a:ln>
              <a:effectLst/>
            </c:spPr>
            <c:extLst xmlns:c16r2="http://schemas.microsoft.com/office/drawing/2015/06/chart">
              <c:ext xmlns:c16="http://schemas.microsoft.com/office/drawing/2014/chart" uri="{C3380CC4-5D6E-409C-BE32-E72D297353CC}">
                <c16:uniqueId val="{00000024-392F-46C8-91FA-EB03B5606C95}"/>
              </c:ext>
            </c:extLst>
          </c:dPt>
          <c:dPt>
            <c:idx val="14"/>
            <c:marker>
              <c:symbol val="circle"/>
              <c:size val="6"/>
              <c:spPr>
                <a:solidFill>
                  <a:srgbClr val="002060"/>
                </a:solidFill>
                <a:ln w="9525">
                  <a:solidFill>
                    <a:srgbClr val="002060"/>
                  </a:solidFill>
                </a:ln>
                <a:effectLst/>
              </c:spPr>
            </c:marker>
            <c:bubble3D val="0"/>
            <c:extLst xmlns:c16r2="http://schemas.microsoft.com/office/drawing/2015/06/chart">
              <c:ext xmlns:c16="http://schemas.microsoft.com/office/drawing/2014/chart" uri="{C3380CC4-5D6E-409C-BE32-E72D297353CC}">
                <c16:uniqueId val="{00000025-392F-46C8-91FA-EB03B5606C95}"/>
              </c:ext>
            </c:extLst>
          </c:dPt>
          <c:dPt>
            <c:idx val="15"/>
            <c:marker>
              <c:symbol val="circle"/>
              <c:size val="6"/>
              <c:spPr>
                <a:solidFill>
                  <a:srgbClr val="002060"/>
                </a:solidFill>
                <a:ln w="9525">
                  <a:solidFill>
                    <a:srgbClr val="002060"/>
                  </a:solidFill>
                </a:ln>
                <a:effectLst/>
              </c:spPr>
            </c:marker>
            <c:bubble3D val="0"/>
            <c:spPr>
              <a:ln w="28575" cap="rnd">
                <a:solidFill>
                  <a:srgbClr val="002060"/>
                </a:solidFill>
                <a:round/>
              </a:ln>
              <a:effectLst/>
            </c:spPr>
            <c:extLst xmlns:c16r2="http://schemas.microsoft.com/office/drawing/2015/06/chart">
              <c:ext xmlns:c16="http://schemas.microsoft.com/office/drawing/2014/chart" uri="{C3380CC4-5D6E-409C-BE32-E72D297353CC}">
                <c16:uniqueId val="{00000027-392F-46C8-91FA-EB03B5606C95}"/>
              </c:ext>
            </c:extLst>
          </c:dPt>
          <c:dPt>
            <c:idx val="23"/>
            <c:marker>
              <c:symbol val="circle"/>
              <c:size val="6"/>
              <c:spPr>
                <a:solidFill>
                  <a:srgbClr val="002060"/>
                </a:solidFill>
                <a:ln w="9525">
                  <a:solidFill>
                    <a:srgbClr val="002060"/>
                  </a:solidFill>
                </a:ln>
                <a:effectLst/>
              </c:spPr>
            </c:marker>
            <c:bubble3D val="0"/>
            <c:extLst xmlns:c16r2="http://schemas.microsoft.com/office/drawing/2015/06/chart">
              <c:ext xmlns:c16="http://schemas.microsoft.com/office/drawing/2014/chart" uri="{C3380CC4-5D6E-409C-BE32-E72D297353CC}">
                <c16:uniqueId val="{00000028-392F-46C8-91FA-EB03B5606C95}"/>
              </c:ext>
            </c:extLst>
          </c:dPt>
          <c:dPt>
            <c:idx val="24"/>
            <c:marker>
              <c:symbol val="circle"/>
              <c:size val="6"/>
              <c:spPr>
                <a:solidFill>
                  <a:srgbClr val="002060"/>
                </a:solidFill>
                <a:ln w="9525">
                  <a:solidFill>
                    <a:srgbClr val="002060"/>
                  </a:solidFill>
                </a:ln>
                <a:effectLst/>
              </c:spPr>
            </c:marker>
            <c:bubble3D val="0"/>
            <c:spPr>
              <a:ln w="28575" cap="rnd">
                <a:solidFill>
                  <a:srgbClr val="002060"/>
                </a:solidFill>
                <a:round/>
              </a:ln>
              <a:effectLst/>
            </c:spPr>
            <c:extLst xmlns:c16r2="http://schemas.microsoft.com/office/drawing/2015/06/chart">
              <c:ext xmlns:c16="http://schemas.microsoft.com/office/drawing/2014/chart" uri="{C3380CC4-5D6E-409C-BE32-E72D297353CC}">
                <c16:uniqueId val="{0000002A-392F-46C8-91FA-EB03B5606C95}"/>
              </c:ext>
            </c:extLst>
          </c:dPt>
          <c:dPt>
            <c:idx val="42"/>
            <c:marker>
              <c:symbol val="circle"/>
              <c:size val="5"/>
              <c:spPr>
                <a:solidFill>
                  <a:srgbClr val="002060"/>
                </a:solidFill>
                <a:ln w="9525">
                  <a:solidFill>
                    <a:srgbClr val="002060"/>
                  </a:solidFill>
                </a:ln>
                <a:effectLst/>
              </c:spPr>
            </c:marker>
            <c:bubble3D val="0"/>
            <c:extLst xmlns:c16r2="http://schemas.microsoft.com/office/drawing/2015/06/chart">
              <c:ext xmlns:c16="http://schemas.microsoft.com/office/drawing/2014/chart" uri="{C3380CC4-5D6E-409C-BE32-E72D297353CC}">
                <c16:uniqueId val="{0000002B-392F-46C8-91FA-EB03B5606C95}"/>
              </c:ext>
            </c:extLst>
          </c:dPt>
          <c:dPt>
            <c:idx val="43"/>
            <c:marker>
              <c:symbol val="circle"/>
              <c:size val="5"/>
              <c:spPr>
                <a:solidFill>
                  <a:srgbClr val="002060"/>
                </a:solidFill>
                <a:ln w="9525">
                  <a:solidFill>
                    <a:srgbClr val="002060"/>
                  </a:solidFill>
                </a:ln>
                <a:effectLst/>
              </c:spPr>
            </c:marker>
            <c:bubble3D val="0"/>
            <c:spPr>
              <a:ln w="28575" cap="rnd">
                <a:solidFill>
                  <a:srgbClr val="002060"/>
                </a:solidFill>
                <a:round/>
              </a:ln>
              <a:effectLst/>
            </c:spPr>
            <c:extLst xmlns:c16r2="http://schemas.microsoft.com/office/drawing/2015/06/chart">
              <c:ext xmlns:c16="http://schemas.microsoft.com/office/drawing/2014/chart" uri="{C3380CC4-5D6E-409C-BE32-E72D297353CC}">
                <c16:uniqueId val="{0000002D-392F-46C8-91FA-EB03B5606C95}"/>
              </c:ext>
            </c:extLst>
          </c:dPt>
          <c:dLbls>
            <c:dLbl>
              <c:idx val="0"/>
              <c:layout>
                <c:manualLayout>
                  <c:x val="-3.59138781121748E-2"/>
                  <c:y val="-3.9412885410763203E-2"/>
                </c:manualLayout>
              </c:layout>
              <c:tx>
                <c:rich>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Times New Roman" charset="0"/>
                        <a:ea typeface="Times New Roman" charset="0"/>
                        <a:cs typeface="Times New Roman" charset="0"/>
                      </a:defRPr>
                    </a:pPr>
                    <a:r>
                      <a:rPr lang="en-US" sz="1100"/>
                      <a:t>1974 = 22,4</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Times New Roman" charset="0"/>
                      <a:ea typeface="Times New Roman" charset="0"/>
                      <a:cs typeface="Times New Roman" charset="0"/>
                    </a:defRPr>
                  </a:pPr>
                  <a:endParaRPr lang="es-CL"/>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392F-46C8-91FA-EB03B5606C95}"/>
                </c:ext>
                <c:ext xmlns:c15="http://schemas.microsoft.com/office/drawing/2012/chart" uri="{CE6537A1-D6FC-4f65-9D91-7224C49458BB}">
                  <c15:layout>
                    <c:manualLayout>
                      <c:w val="0.15190584170176"/>
                      <c:h val="6.2754579107933098E-2"/>
                    </c:manualLayout>
                  </c15:layout>
                </c:ext>
              </c:extLst>
            </c:dLbl>
            <c:dLbl>
              <c:idx val="15"/>
              <c:layout>
                <c:manualLayout>
                  <c:x val="-0.114907641810849"/>
                  <c:y val="-6.4225690833457097E-2"/>
                </c:manualLayout>
              </c:layout>
              <c:tx>
                <c:rich>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Times New Roman" charset="0"/>
                        <a:ea typeface="Times New Roman" charset="0"/>
                        <a:cs typeface="Times New Roman" charset="0"/>
                      </a:defRPr>
                    </a:pPr>
                    <a:r>
                      <a:rPr lang="en-US" sz="1100"/>
                      <a:t>1988-89 =</a:t>
                    </a:r>
                    <a:r>
                      <a:rPr lang="en-US" sz="1100" baseline="0"/>
                      <a:t> 19,2</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Times New Roman" charset="0"/>
                      <a:ea typeface="Times New Roman" charset="0"/>
                      <a:cs typeface="Times New Roman" charset="0"/>
                    </a:defRPr>
                  </a:pPr>
                  <a:endParaRPr lang="es-CL"/>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392F-46C8-91FA-EB03B5606C95}"/>
                </c:ext>
                <c:ext xmlns:c15="http://schemas.microsoft.com/office/drawing/2012/chart" uri="{CE6537A1-D6FC-4f65-9D91-7224C49458BB}">
                  <c15:layout>
                    <c:manualLayout>
                      <c:w val="0.18494116806827701"/>
                      <c:h val="7.6300478711217701E-2"/>
                    </c:manualLayout>
                  </c15:layout>
                </c:ext>
              </c:extLst>
            </c:dLbl>
            <c:dLbl>
              <c:idx val="24"/>
              <c:layout>
                <c:manualLayout>
                  <c:x val="-0.12749477743853499"/>
                  <c:y val="-5.9812675597786101E-2"/>
                </c:manualLayout>
              </c:layout>
              <c:tx>
                <c:rich>
                  <a:bodyPr/>
                  <a:lstStyle/>
                  <a:p>
                    <a:r>
                      <a:rPr lang="en-US"/>
                      <a:t>1997-98 = 25,1</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392F-46C8-91FA-EB03B5606C95}"/>
                </c:ext>
                <c:ext xmlns:c15="http://schemas.microsoft.com/office/drawing/2012/chart" uri="{CE6537A1-D6FC-4f65-9D91-7224C49458BB}"/>
              </c:extLst>
            </c:dLbl>
            <c:dLbl>
              <c:idx val="43"/>
              <c:layout>
                <c:manualLayout>
                  <c:x val="-3.3413324720219302E-2"/>
                  <c:y val="-4.5702718763928098E-2"/>
                </c:manualLayout>
              </c:layout>
              <c:tx>
                <c:rich>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Times New Roman" charset="0"/>
                        <a:ea typeface="Times New Roman" charset="0"/>
                        <a:cs typeface="Times New Roman" charset="0"/>
                      </a:defRPr>
                    </a:pPr>
                    <a:r>
                      <a:rPr lang="en-US" sz="1100"/>
                      <a:t>2016-17 = 41,0</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Times New Roman" charset="0"/>
                      <a:ea typeface="Times New Roman" charset="0"/>
                      <a:cs typeface="Times New Roman" charset="0"/>
                    </a:defRPr>
                  </a:pPr>
                  <a:endParaRPr lang="es-CL"/>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D-392F-46C8-91FA-EB03B5606C95}"/>
                </c:ext>
                <c:ext xmlns:c15="http://schemas.microsoft.com/office/drawing/2012/chart" uri="{CE6537A1-D6FC-4f65-9D91-7224C49458BB}">
                  <c15:layout>
                    <c:manualLayout>
                      <c:w val="0.18091258271208299"/>
                      <c:h val="7.6484115782696996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charset="0"/>
                    <a:ea typeface="Times New Roman" charset="0"/>
                    <a:cs typeface="Times New Roman" charset="0"/>
                  </a:defRPr>
                </a:pPr>
                <a:endParaRPr lang="es-CL"/>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'acta con cruce SKN'!$C$17:$C$60</c:f>
              <c:numCache>
                <c:formatCode>General</c:formatCode>
                <c:ptCount val="44"/>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numCache>
            </c:numRef>
          </c:cat>
          <c:val>
            <c:numRef>
              <c:f>'acta con cruce SKN'!$H$17:$H$60</c:f>
              <c:numCache>
                <c:formatCode>0.0</c:formatCode>
                <c:ptCount val="44"/>
                <c:pt idx="0">
                  <c:v>22.420543252543141</c:v>
                </c:pt>
                <c:pt idx="1">
                  <c:v>22.317808604624169</c:v>
                </c:pt>
                <c:pt idx="2">
                  <c:v>22.022464072162471</c:v>
                </c:pt>
                <c:pt idx="3">
                  <c:v>21.82173758345564</c:v>
                </c:pt>
                <c:pt idx="4">
                  <c:v>21.146073578945799</c:v>
                </c:pt>
                <c:pt idx="5">
                  <c:v>20.949922756790851</c:v>
                </c:pt>
                <c:pt idx="6">
                  <c:v>21.107218913043919</c:v>
                </c:pt>
                <c:pt idx="7">
                  <c:v>21.540820430029981</c:v>
                </c:pt>
                <c:pt idx="8">
                  <c:v>21.339218740544219</c:v>
                </c:pt>
                <c:pt idx="9">
                  <c:v>20.53625781385265</c:v>
                </c:pt>
                <c:pt idx="10">
                  <c:v>20.250692519674221</c:v>
                </c:pt>
                <c:pt idx="11">
                  <c:v>20.034795904453699</c:v>
                </c:pt>
                <c:pt idx="12">
                  <c:v>19.69478523088917</c:v>
                </c:pt>
                <c:pt idx="13">
                  <c:v>19.58112235014908</c:v>
                </c:pt>
                <c:pt idx="14">
                  <c:v>19.195719718692281</c:v>
                </c:pt>
                <c:pt idx="15">
                  <c:v>19.214202505669181</c:v>
                </c:pt>
                <c:pt idx="16">
                  <c:v>19.525235834108209</c:v>
                </c:pt>
                <c:pt idx="17">
                  <c:v>19.79328604849896</c:v>
                </c:pt>
                <c:pt idx="18">
                  <c:v>20.13255286954551</c:v>
                </c:pt>
                <c:pt idx="19">
                  <c:v>20.201575965633278</c:v>
                </c:pt>
                <c:pt idx="20">
                  <c:v>20.828872961941151</c:v>
                </c:pt>
                <c:pt idx="21">
                  <c:v>21.97062289221088</c:v>
                </c:pt>
                <c:pt idx="22">
                  <c:v>23.346764818212929</c:v>
                </c:pt>
                <c:pt idx="23">
                  <c:v>24.581104958019161</c:v>
                </c:pt>
                <c:pt idx="24">
                  <c:v>25.552463228616901</c:v>
                </c:pt>
                <c:pt idx="25">
                  <c:v>25.991146542285119</c:v>
                </c:pt>
                <c:pt idx="26">
                  <c:v>26.791396399959279</c:v>
                </c:pt>
                <c:pt idx="27">
                  <c:v>27.611188242871709</c:v>
                </c:pt>
                <c:pt idx="28">
                  <c:v>28.22560056087508</c:v>
                </c:pt>
                <c:pt idx="29">
                  <c:v>28.391001311897838</c:v>
                </c:pt>
                <c:pt idx="30">
                  <c:v>28.725089376325329</c:v>
                </c:pt>
                <c:pt idx="31">
                  <c:v>29.49068001095084</c:v>
                </c:pt>
                <c:pt idx="32">
                  <c:v>31.08707280373649</c:v>
                </c:pt>
                <c:pt idx="33">
                  <c:v>32.209176848804383</c:v>
                </c:pt>
                <c:pt idx="34">
                  <c:v>33.091985495233018</c:v>
                </c:pt>
                <c:pt idx="35">
                  <c:v>34.129176667690928</c:v>
                </c:pt>
                <c:pt idx="36">
                  <c:v>33.34498776468773</c:v>
                </c:pt>
                <c:pt idx="37">
                  <c:v>34.08119505934706</c:v>
                </c:pt>
                <c:pt idx="38">
                  <c:v>35.902319766893498</c:v>
                </c:pt>
                <c:pt idx="39">
                  <c:v>37.57321597432535</c:v>
                </c:pt>
                <c:pt idx="40">
                  <c:v>38.674435300422367</c:v>
                </c:pt>
                <c:pt idx="41">
                  <c:v>39.813813837600001</c:v>
                </c:pt>
                <c:pt idx="42">
                  <c:v>40.76999030540366</c:v>
                </c:pt>
                <c:pt idx="43">
                  <c:v>41.213062818449771</c:v>
                </c:pt>
              </c:numCache>
            </c:numRef>
          </c:val>
          <c:smooth val="1"/>
          <c:extLst xmlns:c16r2="http://schemas.microsoft.com/office/drawing/2015/06/chart">
            <c:ext xmlns:c16="http://schemas.microsoft.com/office/drawing/2014/chart" uri="{C3380CC4-5D6E-409C-BE32-E72D297353CC}">
              <c16:uniqueId val="{0000002E-392F-46C8-91FA-EB03B5606C95}"/>
            </c:ext>
          </c:extLst>
        </c:ser>
        <c:dLbls>
          <c:showLegendKey val="0"/>
          <c:showVal val="0"/>
          <c:showCatName val="0"/>
          <c:showSerName val="0"/>
          <c:showPercent val="0"/>
          <c:showBubbleSize val="0"/>
        </c:dLbls>
        <c:smooth val="0"/>
        <c:axId val="346596768"/>
        <c:axId val="346597152"/>
      </c:lineChart>
      <c:catAx>
        <c:axId val="34659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charset="0"/>
                <a:ea typeface="Times New Roman" charset="0"/>
                <a:cs typeface="Times New Roman" charset="0"/>
              </a:defRPr>
            </a:pPr>
            <a:endParaRPr lang="es-CL"/>
          </a:p>
        </c:txPr>
        <c:crossAx val="346597152"/>
        <c:crosses val="autoZero"/>
        <c:auto val="1"/>
        <c:lblAlgn val="ctr"/>
        <c:lblOffset val="100"/>
        <c:tickLblSkip val="3"/>
        <c:tickMarkSkip val="3"/>
        <c:noMultiLvlLbl val="0"/>
      </c:catAx>
      <c:valAx>
        <c:axId val="3465971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charset="0"/>
                <a:ea typeface="Times New Roman" charset="0"/>
                <a:cs typeface="Times New Roman" charset="0"/>
              </a:defRPr>
            </a:pPr>
            <a:endParaRPr lang="es-CL"/>
          </a:p>
        </c:txPr>
        <c:crossAx val="346596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charset="0"/>
                <a:ea typeface="Times New Roman" charset="0"/>
                <a:cs typeface="Times New Roman" charset="0"/>
              </a:defRPr>
            </a:pPr>
            <a:r>
              <a:rPr lang="en-US" sz="1200" b="1">
                <a:solidFill>
                  <a:sysClr val="windowText" lastClr="000000"/>
                </a:solidFill>
              </a:rPr>
              <a:t>Gráfico 4. Brecha del producto y FBKF, 1974-1998 </a:t>
            </a:r>
            <a:r>
              <a:rPr lang="en-US" sz="1200">
                <a:solidFill>
                  <a:sysClr val="windowText" lastClr="000000"/>
                </a:solidFill>
              </a:rPr>
              <a:t/>
            </a:r>
            <a:br>
              <a:rPr lang="en-US" sz="1200">
                <a:solidFill>
                  <a:sysClr val="windowText" lastClr="000000"/>
                </a:solidFill>
              </a:rPr>
            </a:br>
            <a:r>
              <a:rPr lang="en-US" sz="1200">
                <a:solidFill>
                  <a:sysClr val="windowText" lastClr="000000"/>
                </a:solidFill>
              </a:rPr>
              <a:t>(%</a:t>
            </a:r>
            <a:r>
              <a:rPr lang="en-US" sz="1200" baseline="0">
                <a:solidFill>
                  <a:sysClr val="windowText" lastClr="000000"/>
                </a:solidFill>
              </a:rPr>
              <a:t> del PIB)</a:t>
            </a:r>
            <a:endParaRPr lang="en-US" sz="1200">
              <a:solidFill>
                <a:sysClr val="windowText" lastClr="000000"/>
              </a:solidFill>
            </a:endParaRPr>
          </a:p>
        </c:rich>
      </c:tx>
      <c:layout>
        <c:manualLayout>
          <c:xMode val="edge"/>
          <c:yMode val="edge"/>
          <c:x val="0.25334319871601402"/>
          <c:y val="9.1015766185797708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charset="0"/>
              <a:ea typeface="Times New Roman" charset="0"/>
              <a:cs typeface="Times New Roman" charset="0"/>
            </a:defRPr>
          </a:pPr>
          <a:endParaRPr lang="es-CL"/>
        </a:p>
      </c:txPr>
    </c:title>
    <c:autoTitleDeleted val="0"/>
    <c:plotArea>
      <c:layout>
        <c:manualLayout>
          <c:layoutTarget val="inner"/>
          <c:xMode val="edge"/>
          <c:yMode val="edge"/>
          <c:x val="9.8159414524403896E-2"/>
          <c:y val="0.15646697484969099"/>
          <c:w val="0.80573044025199503"/>
          <c:h val="0.72958868460340898"/>
        </c:manualLayout>
      </c:layout>
      <c:lineChart>
        <c:grouping val="standard"/>
        <c:varyColors val="0"/>
        <c:ser>
          <c:idx val="2"/>
          <c:order val="0"/>
          <c:tx>
            <c:v>Brecha (% del PIB)</c:v>
          </c:tx>
          <c:spPr>
            <a:ln w="25400" cap="rnd">
              <a:solidFill>
                <a:srgbClr val="0070C0"/>
              </a:solidFill>
              <a:round/>
            </a:ln>
            <a:effectLst/>
          </c:spPr>
          <c:marker>
            <c:symbol val="none"/>
          </c:marker>
          <c:cat>
            <c:numRef>
              <c:f>correlación!$B$3:$B$27</c:f>
              <c:numCache>
                <c:formatCode>0</c:formatCode>
                <c:ptCount val="25"/>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numCache>
            </c:numRef>
          </c:cat>
          <c:val>
            <c:numRef>
              <c:f>correlación!$F$3:$F$27</c:f>
              <c:numCache>
                <c:formatCode>#,##0.0</c:formatCode>
                <c:ptCount val="25"/>
                <c:pt idx="0">
                  <c:v>2.8499999999999921</c:v>
                </c:pt>
                <c:pt idx="1">
                  <c:v>22.243304270730579</c:v>
                </c:pt>
                <c:pt idx="2">
                  <c:v>18.700609015809629</c:v>
                </c:pt>
                <c:pt idx="3">
                  <c:v>12.498273587231971</c:v>
                </c:pt>
                <c:pt idx="4">
                  <c:v>9.1602178033863897</c:v>
                </c:pt>
                <c:pt idx="5">
                  <c:v>4.6299867019752003</c:v>
                </c:pt>
                <c:pt idx="6">
                  <c:v>2.065979855843628</c:v>
                </c:pt>
                <c:pt idx="7">
                  <c:v>0.49999999999998901</c:v>
                </c:pt>
                <c:pt idx="8">
                  <c:v>18.605967148975999</c:v>
                </c:pt>
                <c:pt idx="9">
                  <c:v>20.969286260982539</c:v>
                </c:pt>
                <c:pt idx="10">
                  <c:v>15.928385911877839</c:v>
                </c:pt>
                <c:pt idx="11">
                  <c:v>16.49665939572898</c:v>
                </c:pt>
                <c:pt idx="12">
                  <c:v>13.70102360999833</c:v>
                </c:pt>
                <c:pt idx="13">
                  <c:v>10.12645890044408</c:v>
                </c:pt>
                <c:pt idx="14">
                  <c:v>6.9107737526225099</c:v>
                </c:pt>
                <c:pt idx="15">
                  <c:v>1.5</c:v>
                </c:pt>
                <c:pt idx="16">
                  <c:v>6.4028402192234806</c:v>
                </c:pt>
                <c:pt idx="17">
                  <c:v>5.2122988902477054</c:v>
                </c:pt>
                <c:pt idx="18">
                  <c:v>-0.40444195484123402</c:v>
                </c:pt>
                <c:pt idx="19">
                  <c:v>-0.371401306939249</c:v>
                </c:pt>
                <c:pt idx="20">
                  <c:v>1.1257730307564671</c:v>
                </c:pt>
                <c:pt idx="21">
                  <c:v>-3.2</c:v>
                </c:pt>
                <c:pt idx="22">
                  <c:v>-4.9993252285039906</c:v>
                </c:pt>
                <c:pt idx="23">
                  <c:v>-2.4303315278176441</c:v>
                </c:pt>
                <c:pt idx="24">
                  <c:v>0.90000000000000202</c:v>
                </c:pt>
              </c:numCache>
            </c:numRef>
          </c:val>
          <c:smooth val="1"/>
          <c:extLst xmlns:c16r2="http://schemas.microsoft.com/office/drawing/2015/06/chart">
            <c:ext xmlns:c16="http://schemas.microsoft.com/office/drawing/2014/chart" uri="{C3380CC4-5D6E-409C-BE32-E72D297353CC}">
              <c16:uniqueId val="{00000000-66C8-410D-AEEB-B9D1AA819F7D}"/>
            </c:ext>
          </c:extLst>
        </c:ser>
        <c:dLbls>
          <c:showLegendKey val="0"/>
          <c:showVal val="0"/>
          <c:showCatName val="0"/>
          <c:showSerName val="0"/>
          <c:showPercent val="0"/>
          <c:showBubbleSize val="0"/>
        </c:dLbls>
        <c:marker val="1"/>
        <c:smooth val="0"/>
        <c:axId val="248107200"/>
        <c:axId val="248107584"/>
      </c:lineChart>
      <c:lineChart>
        <c:grouping val="standard"/>
        <c:varyColors val="0"/>
        <c:ser>
          <c:idx val="1"/>
          <c:order val="1"/>
          <c:tx>
            <c:v>FBKF (% del PIB)</c:v>
          </c:tx>
          <c:spPr>
            <a:ln w="25400" cap="rnd">
              <a:solidFill>
                <a:srgbClr val="C00000"/>
              </a:solidFill>
              <a:prstDash val="sysDash"/>
              <a:round/>
            </a:ln>
            <a:effectLst/>
          </c:spPr>
          <c:marker>
            <c:symbol val="none"/>
          </c:marker>
          <c:val>
            <c:numRef>
              <c:f>correlación!$J$3:$J$27</c:f>
              <c:numCache>
                <c:formatCode>0.0</c:formatCode>
                <c:ptCount val="25"/>
                <c:pt idx="0">
                  <c:v>14.25882372720775</c:v>
                </c:pt>
                <c:pt idx="1">
                  <c:v>13.207667818171929</c:v>
                </c:pt>
                <c:pt idx="2">
                  <c:v>10.79754416159756</c:v>
                </c:pt>
                <c:pt idx="3">
                  <c:v>11.49123001857957</c:v>
                </c:pt>
                <c:pt idx="4">
                  <c:v>12.694521709540179</c:v>
                </c:pt>
                <c:pt idx="5">
                  <c:v>13.76993581203434</c:v>
                </c:pt>
                <c:pt idx="6">
                  <c:v>15.85872714930016</c:v>
                </c:pt>
                <c:pt idx="7">
                  <c:v>17.618499562032529</c:v>
                </c:pt>
                <c:pt idx="8">
                  <c:v>12.607270562104381</c:v>
                </c:pt>
                <c:pt idx="9">
                  <c:v>10.75208130156031</c:v>
                </c:pt>
                <c:pt idx="10">
                  <c:v>11.82001579685118</c:v>
                </c:pt>
                <c:pt idx="11">
                  <c:v>12.833994775398629</c:v>
                </c:pt>
                <c:pt idx="12">
                  <c:v>12.44002596995103</c:v>
                </c:pt>
                <c:pt idx="13">
                  <c:v>14.204385381578019</c:v>
                </c:pt>
                <c:pt idx="14">
                  <c:v>15.109957951155369</c:v>
                </c:pt>
                <c:pt idx="15">
                  <c:v>17.766472929433469</c:v>
                </c:pt>
                <c:pt idx="16">
                  <c:v>17.56418309174941</c:v>
                </c:pt>
                <c:pt idx="17">
                  <c:v>16.238776847071019</c:v>
                </c:pt>
                <c:pt idx="18">
                  <c:v>17.937804778627829</c:v>
                </c:pt>
                <c:pt idx="19">
                  <c:v>19.77704319278898</c:v>
                </c:pt>
                <c:pt idx="20">
                  <c:v>19.86646193046494</c:v>
                </c:pt>
                <c:pt idx="21">
                  <c:v>22.17803960088353</c:v>
                </c:pt>
                <c:pt idx="22">
                  <c:v>22.488832227343789</c:v>
                </c:pt>
                <c:pt idx="23">
                  <c:v>23.320369847798361</c:v>
                </c:pt>
                <c:pt idx="24">
                  <c:v>23.014040828081761</c:v>
                </c:pt>
              </c:numCache>
            </c:numRef>
          </c:val>
          <c:smooth val="1"/>
          <c:extLst xmlns:c16r2="http://schemas.microsoft.com/office/drawing/2015/06/chart">
            <c:ext xmlns:c16="http://schemas.microsoft.com/office/drawing/2014/chart" uri="{C3380CC4-5D6E-409C-BE32-E72D297353CC}">
              <c16:uniqueId val="{00000001-66C8-410D-AEEB-B9D1AA819F7D}"/>
            </c:ext>
          </c:extLst>
        </c:ser>
        <c:dLbls>
          <c:showLegendKey val="0"/>
          <c:showVal val="0"/>
          <c:showCatName val="0"/>
          <c:showSerName val="0"/>
          <c:showPercent val="0"/>
          <c:showBubbleSize val="0"/>
        </c:dLbls>
        <c:marker val="1"/>
        <c:smooth val="0"/>
        <c:axId val="346932064"/>
        <c:axId val="346931680"/>
      </c:lineChart>
      <c:catAx>
        <c:axId val="24810720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charset="0"/>
                <a:ea typeface="Times New Roman" charset="0"/>
                <a:cs typeface="Times New Roman" charset="0"/>
              </a:defRPr>
            </a:pPr>
            <a:endParaRPr lang="es-CL"/>
          </a:p>
        </c:txPr>
        <c:crossAx val="248107584"/>
        <c:crosses val="autoZero"/>
        <c:auto val="1"/>
        <c:lblAlgn val="ctr"/>
        <c:lblOffset val="100"/>
        <c:noMultiLvlLbl val="0"/>
      </c:catAx>
      <c:valAx>
        <c:axId val="248107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r>
                  <a:rPr lang="en-US" sz="1000">
                    <a:solidFill>
                      <a:srgbClr val="00B0F0"/>
                    </a:solidFill>
                  </a:rPr>
                  <a:t>Brecha (% del PIB)</a:t>
                </a:r>
              </a:p>
            </c:rich>
          </c:tx>
          <c:layout>
            <c:manualLayout>
              <c:xMode val="edge"/>
              <c:yMode val="edge"/>
              <c:x val="9.3452495267360501E-5"/>
              <c:y val="0.3467828101868740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crossAx val="248107200"/>
        <c:crosses val="autoZero"/>
        <c:crossBetween val="between"/>
      </c:valAx>
      <c:valAx>
        <c:axId val="346931680"/>
        <c:scaling>
          <c:orientation val="minMax"/>
        </c:scaling>
        <c:delete val="0"/>
        <c:axPos val="r"/>
        <c:title>
          <c:tx>
            <c:rich>
              <a:bodyPr rot="-5400000" spcFirstLastPara="1" vertOverflow="ellipsis" vert="horz" wrap="square" anchor="ctr" anchorCtr="1"/>
              <a:lstStyle/>
              <a:p>
                <a:pPr>
                  <a:defRPr sz="1000" b="0" i="0" u="none" strike="noStrike" kern="1200" baseline="0">
                    <a:solidFill>
                      <a:srgbClr val="FF0000"/>
                    </a:solidFill>
                    <a:latin typeface="Times New Roman" charset="0"/>
                    <a:ea typeface="Times New Roman" charset="0"/>
                    <a:cs typeface="Times New Roman" charset="0"/>
                  </a:defRPr>
                </a:pPr>
                <a:r>
                  <a:rPr lang="en-US" b="0">
                    <a:solidFill>
                      <a:srgbClr val="FF0000"/>
                    </a:solidFill>
                  </a:rPr>
                  <a:t>FBKF (% del PIB)</a:t>
                </a:r>
              </a:p>
            </c:rich>
          </c:tx>
          <c:layout>
            <c:manualLayout>
              <c:xMode val="edge"/>
              <c:yMode val="edge"/>
              <c:x val="0.95621529260999605"/>
              <c:y val="0.358292291700567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rgbClr val="FF0000"/>
                  </a:solidFill>
                  <a:latin typeface="Times New Roman" charset="0"/>
                  <a:ea typeface="Times New Roman" charset="0"/>
                  <a:cs typeface="Times New Roman" charset="0"/>
                </a:defRPr>
              </a:pPr>
              <a:endParaRPr lang="es-CL"/>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s-CL"/>
          </a:p>
        </c:txPr>
        <c:crossAx val="346932064"/>
        <c:crosses val="max"/>
        <c:crossBetween val="between"/>
      </c:valAx>
      <c:catAx>
        <c:axId val="346932064"/>
        <c:scaling>
          <c:orientation val="minMax"/>
        </c:scaling>
        <c:delete val="1"/>
        <c:axPos val="b"/>
        <c:majorTickMark val="out"/>
        <c:minorTickMark val="none"/>
        <c:tickLblPos val="nextTo"/>
        <c:crossAx val="346931680"/>
        <c:crosses val="autoZero"/>
        <c:auto val="1"/>
        <c:lblAlgn val="ctr"/>
        <c:lblOffset val="100"/>
        <c:noMultiLvlLbl val="0"/>
      </c:catAx>
      <c:spPr>
        <a:noFill/>
        <a:ln>
          <a:noFill/>
        </a:ln>
        <a:effectLst/>
      </c:spPr>
    </c:plotArea>
    <c:legend>
      <c:legendPos val="b"/>
      <c:layout>
        <c:manualLayout>
          <c:xMode val="edge"/>
          <c:yMode val="edge"/>
          <c:x val="9.0448030963147102E-2"/>
          <c:y val="0.85283245597614898"/>
          <c:w val="0.83414098768821299"/>
          <c:h val="0.1457640769030580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legend>
    <c:plotVisOnly val="1"/>
    <c:dispBlanksAs val="gap"/>
    <c:showDLblsOverMax val="0"/>
  </c:chart>
  <c:spPr>
    <a:solidFill>
      <a:schemeClr val="bg1"/>
    </a:solidFill>
    <a:ln w="9525" cap="flat" cmpd="sng" algn="ctr">
      <a:noFill/>
      <a:round/>
    </a:ln>
    <a:effectLst/>
  </c:spPr>
  <c:txPr>
    <a:bodyPr/>
    <a:lstStyle/>
    <a:p>
      <a:pPr>
        <a:defRPr>
          <a:latin typeface="Times New Roman" charset="0"/>
          <a:ea typeface="Times New Roman" charset="0"/>
          <a:cs typeface="Times New Roman" charset="0"/>
        </a:defRPr>
      </a:pPr>
      <a:endParaRPr lang="es-C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371266305778099E-2"/>
          <c:y val="0.15726942726343299"/>
          <c:w val="0.89279263943267795"/>
          <c:h val="0.67225543371257102"/>
        </c:manualLayout>
      </c:layout>
      <c:barChart>
        <c:barDir val="col"/>
        <c:grouping val="stacked"/>
        <c:varyColors val="0"/>
        <c:ser>
          <c:idx val="0"/>
          <c:order val="0"/>
          <c:tx>
            <c:v>FBKF RRNN</c:v>
          </c:tx>
          <c:spPr>
            <a:solidFill>
              <a:schemeClr val="accent1"/>
            </a:solidFill>
            <a:ln>
              <a:noFill/>
            </a:ln>
            <a:effectLst/>
          </c:spPr>
          <c:invertIfNegative val="0"/>
          <c:cat>
            <c:numRef>
              <c:f>G.5!$B$3:$B$29</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G.5!$E$3:$E$29</c:f>
              <c:numCache>
                <c:formatCode>#,##0</c:formatCode>
                <c:ptCount val="27"/>
                <c:pt idx="0">
                  <c:v>20.440011535064979</c:v>
                </c:pt>
                <c:pt idx="1">
                  <c:v>19.120004270342019</c:v>
                </c:pt>
                <c:pt idx="2">
                  <c:v>18.940057353185729</c:v>
                </c:pt>
                <c:pt idx="3">
                  <c:v>17.393453746958709</c:v>
                </c:pt>
                <c:pt idx="4">
                  <c:v>16.363620297668689</c:v>
                </c:pt>
                <c:pt idx="5">
                  <c:v>15.4510190837407</c:v>
                </c:pt>
                <c:pt idx="6">
                  <c:v>14.761606292871569</c:v>
                </c:pt>
                <c:pt idx="7">
                  <c:v>14.74077698451838</c:v>
                </c:pt>
                <c:pt idx="8">
                  <c:v>16.409587720876129</c:v>
                </c:pt>
                <c:pt idx="9">
                  <c:v>17.510917545677451</c:v>
                </c:pt>
                <c:pt idx="10">
                  <c:v>18.383171156281101</c:v>
                </c:pt>
                <c:pt idx="11">
                  <c:v>21.4533788832229</c:v>
                </c:pt>
                <c:pt idx="12">
                  <c:v>23.267717811674721</c:v>
                </c:pt>
                <c:pt idx="13">
                  <c:v>20.947493339275379</c:v>
                </c:pt>
                <c:pt idx="14">
                  <c:v>16.111812524486339</c:v>
                </c:pt>
                <c:pt idx="15">
                  <c:v>19.013619466098518</c:v>
                </c:pt>
                <c:pt idx="16">
                  <c:v>19.313916285782341</c:v>
                </c:pt>
                <c:pt idx="17">
                  <c:v>18.53278358527287</c:v>
                </c:pt>
                <c:pt idx="18">
                  <c:v>20.168608194065079</c:v>
                </c:pt>
                <c:pt idx="19">
                  <c:v>22.335718508077289</c:v>
                </c:pt>
                <c:pt idx="20">
                  <c:v>25.499729054761769</c:v>
                </c:pt>
                <c:pt idx="21">
                  <c:v>25.308219639500471</c:v>
                </c:pt>
                <c:pt idx="22">
                  <c:v>27.516274278334649</c:v>
                </c:pt>
                <c:pt idx="23">
                  <c:v>36.509704296975613</c:v>
                </c:pt>
                <c:pt idx="24">
                  <c:v>32.759594557829423</c:v>
                </c:pt>
                <c:pt idx="25">
                  <c:v>27.127595709155209</c:v>
                </c:pt>
                <c:pt idx="26">
                  <c:v>23.623823995857801</c:v>
                </c:pt>
              </c:numCache>
            </c:numRef>
          </c:val>
          <c:extLst xmlns:c16r2="http://schemas.microsoft.com/office/drawing/2015/06/chart">
            <c:ext xmlns:c16="http://schemas.microsoft.com/office/drawing/2014/chart" uri="{C3380CC4-5D6E-409C-BE32-E72D297353CC}">
              <c16:uniqueId val="{00000000-F81E-43B3-A49C-ECBFB59D42F6}"/>
            </c:ext>
          </c:extLst>
        </c:ser>
        <c:ser>
          <c:idx val="1"/>
          <c:order val="1"/>
          <c:tx>
            <c:v>FBKF Infraestructuras</c:v>
          </c:tx>
          <c:spPr>
            <a:solidFill>
              <a:srgbClr val="FFC000"/>
            </a:solidFill>
            <a:ln>
              <a:noFill/>
            </a:ln>
            <a:effectLst/>
          </c:spPr>
          <c:invertIfNegative val="0"/>
          <c:cat>
            <c:numRef>
              <c:f>G.5!$B$3:$B$29</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G.5!$F$3:$F$29</c:f>
              <c:numCache>
                <c:formatCode>#,##0</c:formatCode>
                <c:ptCount val="27"/>
                <c:pt idx="0">
                  <c:v>14.614204659366029</c:v>
                </c:pt>
                <c:pt idx="1">
                  <c:v>14.53939527543818</c:v>
                </c:pt>
                <c:pt idx="2">
                  <c:v>14.519429722563229</c:v>
                </c:pt>
                <c:pt idx="3">
                  <c:v>14.39363721131207</c:v>
                </c:pt>
                <c:pt idx="4">
                  <c:v>14.59873165207817</c:v>
                </c:pt>
                <c:pt idx="5">
                  <c:v>15.178002503854019</c:v>
                </c:pt>
                <c:pt idx="6">
                  <c:v>16.066628047710999</c:v>
                </c:pt>
                <c:pt idx="7">
                  <c:v>15.42391276345578</c:v>
                </c:pt>
                <c:pt idx="8">
                  <c:v>16.211578972943069</c:v>
                </c:pt>
                <c:pt idx="9">
                  <c:v>16.505729489146781</c:v>
                </c:pt>
                <c:pt idx="10">
                  <c:v>15.62070854998867</c:v>
                </c:pt>
                <c:pt idx="11">
                  <c:v>15.63151531889971</c:v>
                </c:pt>
                <c:pt idx="12">
                  <c:v>16.153996393371841</c:v>
                </c:pt>
                <c:pt idx="13">
                  <c:v>18.97282187617008</c:v>
                </c:pt>
                <c:pt idx="14">
                  <c:v>23.206351572156411</c:v>
                </c:pt>
                <c:pt idx="15">
                  <c:v>21.546480597743429</c:v>
                </c:pt>
                <c:pt idx="16">
                  <c:v>22.124927317227531</c:v>
                </c:pt>
                <c:pt idx="17">
                  <c:v>21.13852670917165</c:v>
                </c:pt>
                <c:pt idx="18">
                  <c:v>23.74455375715527</c:v>
                </c:pt>
                <c:pt idx="19">
                  <c:v>22.562758596337481</c:v>
                </c:pt>
                <c:pt idx="20">
                  <c:v>22.476974798722711</c:v>
                </c:pt>
                <c:pt idx="21">
                  <c:v>21.957921584754889</c:v>
                </c:pt>
                <c:pt idx="22">
                  <c:v>24.067653442286669</c:v>
                </c:pt>
                <c:pt idx="23">
                  <c:v>19.23947884176328</c:v>
                </c:pt>
                <c:pt idx="24">
                  <c:v>22.007598546421381</c:v>
                </c:pt>
                <c:pt idx="25">
                  <c:v>26.271776633672651</c:v>
                </c:pt>
                <c:pt idx="26">
                  <c:v>27.683139454120699</c:v>
                </c:pt>
              </c:numCache>
            </c:numRef>
          </c:val>
          <c:extLst xmlns:c16r2="http://schemas.microsoft.com/office/drawing/2015/06/chart">
            <c:ext xmlns:c16="http://schemas.microsoft.com/office/drawing/2014/chart" uri="{C3380CC4-5D6E-409C-BE32-E72D297353CC}">
              <c16:uniqueId val="{00000001-F81E-43B3-A49C-ECBFB59D42F6}"/>
            </c:ext>
          </c:extLst>
        </c:ser>
        <c:dLbls>
          <c:showLegendKey val="0"/>
          <c:showVal val="0"/>
          <c:showCatName val="0"/>
          <c:showSerName val="0"/>
          <c:showPercent val="0"/>
          <c:showBubbleSize val="0"/>
        </c:dLbls>
        <c:gapWidth val="75"/>
        <c:overlap val="100"/>
        <c:axId val="248023616"/>
        <c:axId val="248024008"/>
      </c:barChart>
      <c:catAx>
        <c:axId val="248023616"/>
        <c:scaling>
          <c:orientation val="minMax"/>
        </c:scaling>
        <c:delete val="0"/>
        <c:axPos val="b"/>
        <c:numFmt formatCode="General" sourceLinked="1"/>
        <c:majorTickMark val="none"/>
        <c:minorTickMark val="none"/>
        <c:tickLblPos val="nextTo"/>
        <c:spPr>
          <a:noFill/>
          <a:ln w="12700" cap="flat" cmpd="sng" algn="ctr">
            <a:solidFill>
              <a:schemeClr val="bg2">
                <a:lumMod val="50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crossAx val="248024008"/>
        <c:crosses val="autoZero"/>
        <c:auto val="1"/>
        <c:lblAlgn val="ctr"/>
        <c:lblOffset val="100"/>
        <c:noMultiLvlLbl val="0"/>
      </c:catAx>
      <c:valAx>
        <c:axId val="2480240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0.0" sourceLinked="0"/>
        <c:majorTickMark val="out"/>
        <c:minorTickMark val="none"/>
        <c:tickLblPos val="nextTo"/>
        <c:spPr>
          <a:noFill/>
          <a:ln w="12700">
            <a:solidFill>
              <a:schemeClr val="bg2">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crossAx val="248023616"/>
        <c:crosses val="autoZero"/>
        <c:crossBetween val="between"/>
      </c:valAx>
      <c:spPr>
        <a:noFill/>
        <a:ln>
          <a:noFill/>
        </a:ln>
        <a:effectLst/>
      </c:spPr>
    </c:plotArea>
    <c:legend>
      <c:legendPos val="b"/>
      <c:layout>
        <c:manualLayout>
          <c:xMode val="edge"/>
          <c:yMode val="edge"/>
          <c:x val="0.20696523030608199"/>
          <c:y val="0.92603179649774703"/>
          <c:w val="0.644562904252442"/>
          <c:h val="6.6559424098659295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charset="0"/>
          <a:ea typeface="Times New Roman" charset="0"/>
          <a:cs typeface="Times New Roman" charset="0"/>
        </a:defRPr>
      </a:pPr>
      <a:endParaRPr lang="es-CL"/>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charset="0"/>
                <a:ea typeface="Times New Roman" charset="0"/>
                <a:cs typeface="Times New Roman" charset="0"/>
              </a:defRPr>
            </a:pPr>
            <a:r>
              <a:rPr lang="es-CL" sz="1200" b="1"/>
              <a:t>Gráfico 6. Stock de plantaciones forestales </a:t>
            </a:r>
            <a:r>
              <a:rPr lang="es-CL" sz="1200"/>
              <a:t>(miles hec.) </a:t>
            </a:r>
          </a:p>
          <a:p>
            <a:pPr>
              <a:defRPr/>
            </a:pPr>
            <a:r>
              <a:rPr lang="es-CL" sz="1200" b="1"/>
              <a:t>y tasa crecimiento anual </a:t>
            </a:r>
            <a:r>
              <a:rPr lang="es-CL" sz="1200"/>
              <a:t>(%, cinco a</a:t>
            </a:r>
            <a:r>
              <a:rPr lang="en-US" sz="1200"/>
              <a:t>ños móvile</a:t>
            </a:r>
            <a:r>
              <a:rPr lang="en-US" sz="1200" b="0"/>
              <a:t>s), </a:t>
            </a:r>
            <a:r>
              <a:rPr lang="es-CL" sz="1200" b="1"/>
              <a:t>1978-2016</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charset="0"/>
              <a:ea typeface="Times New Roman" charset="0"/>
              <a:cs typeface="Times New Roman" charset="0"/>
            </a:defRPr>
          </a:pPr>
          <a:endParaRPr lang="es-CL"/>
        </a:p>
      </c:txPr>
    </c:title>
    <c:autoTitleDeleted val="0"/>
    <c:plotArea>
      <c:layout>
        <c:manualLayout>
          <c:layoutTarget val="inner"/>
          <c:xMode val="edge"/>
          <c:yMode val="edge"/>
          <c:x val="6.6435247743315606E-2"/>
          <c:y val="0.18902942452628699"/>
          <c:w val="0.87712617229077605"/>
          <c:h val="0.71902092956258001"/>
        </c:manualLayout>
      </c:layout>
      <c:barChart>
        <c:barDir val="col"/>
        <c:grouping val="clustered"/>
        <c:varyColors val="0"/>
        <c:ser>
          <c:idx val="0"/>
          <c:order val="0"/>
          <c:tx>
            <c:v>Stock Plantaciones Forestales</c:v>
          </c:tx>
          <c:spPr>
            <a:solidFill>
              <a:schemeClr val="accent5">
                <a:lumMod val="60000"/>
                <a:lumOff val="40000"/>
              </a:schemeClr>
            </a:solidFill>
            <a:ln>
              <a:noFill/>
            </a:ln>
            <a:effectLst/>
          </c:spPr>
          <c:invertIfNegative val="0"/>
          <c:cat>
            <c:numRef>
              <c:f>G.6!$B$3:$B$41</c:f>
              <c:numCache>
                <c:formatCode>General</c:formatCode>
                <c:ptCount val="39"/>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pt idx="36">
                  <c:v>2014</c:v>
                </c:pt>
                <c:pt idx="37">
                  <c:v>2015</c:v>
                </c:pt>
                <c:pt idx="38">
                  <c:v>2016</c:v>
                </c:pt>
              </c:numCache>
            </c:numRef>
          </c:cat>
          <c:val>
            <c:numRef>
              <c:f>G.6!$C$3:$C$41</c:f>
              <c:numCache>
                <c:formatCode>#,##0</c:formatCode>
                <c:ptCount val="39"/>
                <c:pt idx="0">
                  <c:v>711.91199999999913</c:v>
                </c:pt>
                <c:pt idx="1">
                  <c:v>739.63199999999938</c:v>
                </c:pt>
                <c:pt idx="2">
                  <c:v>794.51</c:v>
                </c:pt>
                <c:pt idx="3">
                  <c:v>864.36099999999885</c:v>
                </c:pt>
                <c:pt idx="4">
                  <c:v>877.18600000000004</c:v>
                </c:pt>
                <c:pt idx="5">
                  <c:v>1067.6880000000001</c:v>
                </c:pt>
                <c:pt idx="6">
                  <c:v>1135.0719999999999</c:v>
                </c:pt>
                <c:pt idx="7">
                  <c:v>1188.635</c:v>
                </c:pt>
                <c:pt idx="8">
                  <c:v>1242.3040000000001</c:v>
                </c:pt>
                <c:pt idx="9">
                  <c:v>1285.53</c:v>
                </c:pt>
                <c:pt idx="10">
                  <c:v>1326.7529999999999</c:v>
                </c:pt>
                <c:pt idx="11">
                  <c:v>1386.444</c:v>
                </c:pt>
                <c:pt idx="12">
                  <c:v>1460.53</c:v>
                </c:pt>
                <c:pt idx="13">
                  <c:v>1555.2550000000001</c:v>
                </c:pt>
                <c:pt idx="14">
                  <c:v>1572.144</c:v>
                </c:pt>
                <c:pt idx="15">
                  <c:v>1694.104</c:v>
                </c:pt>
                <c:pt idx="16">
                  <c:v>1747.5229999999999</c:v>
                </c:pt>
                <c:pt idx="17">
                  <c:v>1818.1849999999999</c:v>
                </c:pt>
                <c:pt idx="18">
                  <c:v>1835.9849999999999</c:v>
                </c:pt>
                <c:pt idx="19">
                  <c:v>1881.925</c:v>
                </c:pt>
                <c:pt idx="20">
                  <c:v>1914.846</c:v>
                </c:pt>
                <c:pt idx="21">
                  <c:v>1952.288</c:v>
                </c:pt>
                <c:pt idx="22">
                  <c:v>1989.1010000000001</c:v>
                </c:pt>
                <c:pt idx="23">
                  <c:v>2037.403</c:v>
                </c:pt>
                <c:pt idx="24">
                  <c:v>2073.6610000000001</c:v>
                </c:pt>
                <c:pt idx="25">
                  <c:v>2046.43</c:v>
                </c:pt>
                <c:pt idx="26">
                  <c:v>2078.648999999999</c:v>
                </c:pt>
                <c:pt idx="27">
                  <c:v>2082.502</c:v>
                </c:pt>
                <c:pt idx="28">
                  <c:v>2194.4949999999999</c:v>
                </c:pt>
                <c:pt idx="29">
                  <c:v>2255.7800000000002</c:v>
                </c:pt>
                <c:pt idx="30">
                  <c:v>2256.2420000000002</c:v>
                </c:pt>
                <c:pt idx="31">
                  <c:v>2320.346</c:v>
                </c:pt>
                <c:pt idx="32">
                  <c:v>2341.85</c:v>
                </c:pt>
                <c:pt idx="33">
                  <c:v>2394.9160000000002</c:v>
                </c:pt>
                <c:pt idx="34">
                  <c:v>2414.3890000000001</c:v>
                </c:pt>
                <c:pt idx="35">
                  <c:v>2447.59</c:v>
                </c:pt>
                <c:pt idx="36">
                  <c:v>2426.7220000000002</c:v>
                </c:pt>
                <c:pt idx="37">
                  <c:v>2396.5619999999999</c:v>
                </c:pt>
                <c:pt idx="38">
                  <c:v>2414.2080000000001</c:v>
                </c:pt>
              </c:numCache>
            </c:numRef>
          </c:val>
          <c:extLst xmlns:c16r2="http://schemas.microsoft.com/office/drawing/2015/06/chart">
            <c:ext xmlns:c16="http://schemas.microsoft.com/office/drawing/2014/chart" uri="{C3380CC4-5D6E-409C-BE32-E72D297353CC}">
              <c16:uniqueId val="{00000000-99E2-4D0D-A4F3-0A9082E329A6}"/>
            </c:ext>
          </c:extLst>
        </c:ser>
        <c:dLbls>
          <c:showLegendKey val="0"/>
          <c:showVal val="0"/>
          <c:showCatName val="0"/>
          <c:showSerName val="0"/>
          <c:showPercent val="0"/>
          <c:showBubbleSize val="0"/>
        </c:dLbls>
        <c:gapWidth val="150"/>
        <c:axId val="248025184"/>
        <c:axId val="248025576"/>
      </c:barChart>
      <c:lineChart>
        <c:grouping val="standard"/>
        <c:varyColors val="0"/>
        <c:ser>
          <c:idx val="1"/>
          <c:order val="1"/>
          <c:tx>
            <c:v>Crecimiento Medio 5 años (%)</c:v>
          </c:tx>
          <c:spPr>
            <a:ln w="28575" cap="rnd">
              <a:solidFill>
                <a:srgbClr val="002060"/>
              </a:solidFill>
              <a:round/>
            </a:ln>
            <a:effectLst/>
          </c:spPr>
          <c:marker>
            <c:symbol val="none"/>
          </c:marker>
          <c:cat>
            <c:numRef>
              <c:f>G.6!$B$3:$B$41</c:f>
              <c:numCache>
                <c:formatCode>General</c:formatCode>
                <c:ptCount val="39"/>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pt idx="36">
                  <c:v>2014</c:v>
                </c:pt>
                <c:pt idx="37">
                  <c:v>2015</c:v>
                </c:pt>
                <c:pt idx="38">
                  <c:v>2016</c:v>
                </c:pt>
              </c:numCache>
            </c:numRef>
          </c:cat>
          <c:val>
            <c:numRef>
              <c:f>G.6!$F$3:$F$41</c:f>
              <c:numCache>
                <c:formatCode>General</c:formatCode>
                <c:ptCount val="39"/>
                <c:pt idx="5" formatCode="0.00">
                  <c:v>8.4435208985579546</c:v>
                </c:pt>
                <c:pt idx="6" formatCode="0.00">
                  <c:v>8.9435551837906573</c:v>
                </c:pt>
                <c:pt idx="7" formatCode="0.00">
                  <c:v>8.3901529877968173</c:v>
                </c:pt>
                <c:pt idx="8" formatCode="0.00">
                  <c:v>7.5242802306208736</c:v>
                </c:pt>
                <c:pt idx="9" formatCode="0.00">
                  <c:v>7.9438999664089156</c:v>
                </c:pt>
                <c:pt idx="10" formatCode="0.00">
                  <c:v>4.4405483458373576</c:v>
                </c:pt>
                <c:pt idx="11" formatCode="0.00">
                  <c:v>4.0820372748355744</c:v>
                </c:pt>
                <c:pt idx="12" formatCode="0.00">
                  <c:v>4.2059203321329166</c:v>
                </c:pt>
                <c:pt idx="13" formatCode="0.00">
                  <c:v>4.5959200738300883</c:v>
                </c:pt>
                <c:pt idx="14" formatCode="0.00">
                  <c:v>4.1075008839778224</c:v>
                </c:pt>
                <c:pt idx="15" formatCode="0.00">
                  <c:v>5.0098402790885714</c:v>
                </c:pt>
                <c:pt idx="16" formatCode="0.00">
                  <c:v>4.7379606607120817</c:v>
                </c:pt>
                <c:pt idx="17" formatCode="0.00">
                  <c:v>4.4781605310446402</c:v>
                </c:pt>
                <c:pt idx="18" formatCode="0.00">
                  <c:v>3.3745196407798601</c:v>
                </c:pt>
                <c:pt idx="19" formatCode="0.00">
                  <c:v>3.66257624039048</c:v>
                </c:pt>
                <c:pt idx="20" formatCode="0.00">
                  <c:v>2.479915067577787</c:v>
                </c:pt>
                <c:pt idx="21" formatCode="0.00">
                  <c:v>2.2407900767007498</c:v>
                </c:pt>
                <c:pt idx="22" formatCode="0.00">
                  <c:v>1.81312157217286</c:v>
                </c:pt>
                <c:pt idx="23" formatCode="0.00">
                  <c:v>2.103719356226041</c:v>
                </c:pt>
                <c:pt idx="24" formatCode="0.00">
                  <c:v>1.959357397805372</c:v>
                </c:pt>
                <c:pt idx="25" formatCode="0.00">
                  <c:v>1.338065228760543</c:v>
                </c:pt>
                <c:pt idx="26" formatCode="0.00">
                  <c:v>1.2622225313980271</c:v>
                </c:pt>
                <c:pt idx="27" formatCode="0.00">
                  <c:v>0.92196974853486802</c:v>
                </c:pt>
                <c:pt idx="28" formatCode="0.00">
                  <c:v>1.496608568420976</c:v>
                </c:pt>
                <c:pt idx="29" formatCode="0.00">
                  <c:v>1.6978558130928521</c:v>
                </c:pt>
                <c:pt idx="30" formatCode="0.00">
                  <c:v>1.9712532969204499</c:v>
                </c:pt>
                <c:pt idx="31" formatCode="0.00">
                  <c:v>2.224340604318642</c:v>
                </c:pt>
                <c:pt idx="32" formatCode="0.00">
                  <c:v>2.3751920338483941</c:v>
                </c:pt>
                <c:pt idx="33" formatCode="0.00">
                  <c:v>1.7632896983541091</c:v>
                </c:pt>
                <c:pt idx="34" formatCode="0.00">
                  <c:v>1.3682853377583011</c:v>
                </c:pt>
                <c:pt idx="35" formatCode="0.00">
                  <c:v>1.6413905922377789</c:v>
                </c:pt>
                <c:pt idx="36" formatCode="0.00">
                  <c:v>0.90053186813878705</c:v>
                </c:pt>
                <c:pt idx="37" formatCode="0.00">
                  <c:v>0.46294821020678201</c:v>
                </c:pt>
                <c:pt idx="38" formatCode="0.00">
                  <c:v>0.16059132653618599</c:v>
                </c:pt>
              </c:numCache>
            </c:numRef>
          </c:val>
          <c:smooth val="0"/>
          <c:extLst xmlns:c16r2="http://schemas.microsoft.com/office/drawing/2015/06/chart">
            <c:ext xmlns:c16="http://schemas.microsoft.com/office/drawing/2014/chart" uri="{C3380CC4-5D6E-409C-BE32-E72D297353CC}">
              <c16:uniqueId val="{00000002-99E2-4D0D-A4F3-0A9082E329A6}"/>
            </c:ext>
          </c:extLst>
        </c:ser>
        <c:dLbls>
          <c:showLegendKey val="0"/>
          <c:showVal val="0"/>
          <c:showCatName val="0"/>
          <c:showSerName val="0"/>
          <c:showPercent val="0"/>
          <c:showBubbleSize val="0"/>
        </c:dLbls>
        <c:marker val="1"/>
        <c:smooth val="0"/>
        <c:axId val="347031416"/>
        <c:axId val="248025968"/>
      </c:lineChart>
      <c:catAx>
        <c:axId val="248025184"/>
        <c:scaling>
          <c:orientation val="minMax"/>
        </c:scaling>
        <c:delete val="0"/>
        <c:axPos val="b"/>
        <c:numFmt formatCode="General" sourceLinked="1"/>
        <c:majorTickMark val="none"/>
        <c:minorTickMark val="none"/>
        <c:tickLblPos val="nextTo"/>
        <c:spPr>
          <a:noFill/>
          <a:ln w="12700"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charset="0"/>
                <a:ea typeface="Times New Roman" charset="0"/>
                <a:cs typeface="Times New Roman" charset="0"/>
              </a:defRPr>
            </a:pPr>
            <a:endParaRPr lang="es-CL"/>
          </a:p>
        </c:txPr>
        <c:crossAx val="248025576"/>
        <c:crosses val="autoZero"/>
        <c:auto val="1"/>
        <c:lblAlgn val="ctr"/>
        <c:lblOffset val="100"/>
        <c:noMultiLvlLbl val="0"/>
      </c:catAx>
      <c:valAx>
        <c:axId val="248025576"/>
        <c:scaling>
          <c:orientation val="minMax"/>
          <c:max val="25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12700">
            <a:solidFill>
              <a:schemeClr val="bg2">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crossAx val="248025184"/>
        <c:crosses val="autoZero"/>
        <c:crossBetween val="between"/>
      </c:valAx>
      <c:valAx>
        <c:axId val="248025968"/>
        <c:scaling>
          <c:orientation val="minMax"/>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crossAx val="347031416"/>
        <c:crosses val="max"/>
        <c:crossBetween val="between"/>
        <c:minorUnit val="1"/>
      </c:valAx>
      <c:catAx>
        <c:axId val="347031416"/>
        <c:scaling>
          <c:orientation val="minMax"/>
        </c:scaling>
        <c:delete val="1"/>
        <c:axPos val="b"/>
        <c:numFmt formatCode="General" sourceLinked="1"/>
        <c:majorTickMark val="out"/>
        <c:minorTickMark val="none"/>
        <c:tickLblPos val="nextTo"/>
        <c:crossAx val="248025968"/>
        <c:crosses val="autoZero"/>
        <c:auto val="1"/>
        <c:lblAlgn val="ctr"/>
        <c:lblOffset val="100"/>
        <c:noMultiLvlLbl val="0"/>
      </c:cat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solidFill>
            <a:sysClr val="windowText" lastClr="000000"/>
          </a:solidFill>
          <a:latin typeface="Times New Roman" charset="0"/>
          <a:ea typeface="Times New Roman" charset="0"/>
          <a:cs typeface="Times New Roman" charset="0"/>
        </a:defRPr>
      </a:pPr>
      <a:endParaRPr lang="es-CL"/>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charset="0"/>
                <a:ea typeface="Times New Roman" charset="0"/>
                <a:cs typeface="Times New Roman" charset="0"/>
              </a:defRPr>
            </a:pPr>
            <a:r>
              <a:rPr lang="en-US" sz="1200" b="1">
                <a:solidFill>
                  <a:sysClr val="windowText" lastClr="000000"/>
                </a:solidFill>
              </a:rPr>
              <a:t>Grafico 7.</a:t>
            </a:r>
            <a:r>
              <a:rPr lang="en-US" sz="1200" b="1" baseline="0">
                <a:solidFill>
                  <a:sysClr val="windowText" lastClr="000000"/>
                </a:solidFill>
              </a:rPr>
              <a:t> </a:t>
            </a:r>
            <a:r>
              <a:rPr lang="en-US" sz="1200" b="1">
                <a:solidFill>
                  <a:sysClr val="windowText" lastClr="000000"/>
                </a:solidFill>
              </a:rPr>
              <a:t>Capturas pesqueras, 1990-2016</a:t>
            </a:r>
          </a:p>
          <a:p>
            <a:pPr>
              <a:defRPr/>
            </a:pPr>
            <a:r>
              <a:rPr lang="en-US" sz="1200">
                <a:solidFill>
                  <a:sysClr val="windowText" lastClr="000000"/>
                </a:solidFill>
              </a:rPr>
              <a:t>(miles de TM)</a:t>
            </a:r>
          </a:p>
        </c:rich>
      </c:tx>
      <c:layout>
        <c:manualLayout>
          <c:xMode val="edge"/>
          <c:yMode val="edge"/>
          <c:x val="0.26547018281069001"/>
          <c:y val="3.30679615752256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charset="0"/>
              <a:ea typeface="Times New Roman" charset="0"/>
              <a:cs typeface="Times New Roman" charset="0"/>
            </a:defRPr>
          </a:pPr>
          <a:endParaRPr lang="es-CL"/>
        </a:p>
      </c:txPr>
    </c:title>
    <c:autoTitleDeleted val="0"/>
    <c:plotArea>
      <c:layout>
        <c:manualLayout>
          <c:layoutTarget val="inner"/>
          <c:xMode val="edge"/>
          <c:yMode val="edge"/>
          <c:x val="0.101619965833448"/>
          <c:y val="0.15229249512824999"/>
          <c:w val="0.86866359118552094"/>
          <c:h val="0.705565614750574"/>
        </c:manualLayout>
      </c:layout>
      <c:barChart>
        <c:barDir val="col"/>
        <c:grouping val="clustered"/>
        <c:varyColors val="0"/>
        <c:ser>
          <c:idx val="0"/>
          <c:order val="0"/>
          <c:tx>
            <c:v>Capturas Pesqueras 1990-2016</c:v>
          </c:tx>
          <c:spPr>
            <a:solidFill>
              <a:schemeClr val="accent5">
                <a:lumMod val="60000"/>
                <a:lumOff val="40000"/>
              </a:schemeClr>
            </a:solidFill>
            <a:ln>
              <a:noFill/>
            </a:ln>
            <a:effectLst/>
          </c:spPr>
          <c:invertIfNegative val="0"/>
          <c:trendline>
            <c:spPr>
              <a:ln w="28575" cap="rnd">
                <a:solidFill>
                  <a:srgbClr val="002060"/>
                </a:solidFill>
                <a:prstDash val="solid"/>
              </a:ln>
              <a:effectLst/>
            </c:spPr>
            <c:trendlineType val="movingAvg"/>
            <c:period val="5"/>
            <c:dispRSqr val="0"/>
            <c:dispEq val="0"/>
          </c:trendline>
          <c:cat>
            <c:numRef>
              <c:f>G.7!$B$4:$B$30</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G.7!$C$4:$C$30</c:f>
              <c:numCache>
                <c:formatCode>#,##0</c:formatCode>
                <c:ptCount val="27"/>
                <c:pt idx="0">
                  <c:v>5014.5649999999996</c:v>
                </c:pt>
                <c:pt idx="1">
                  <c:v>5787.259</c:v>
                </c:pt>
                <c:pt idx="2">
                  <c:v>6240.3860000000004</c:v>
                </c:pt>
                <c:pt idx="3">
                  <c:v>5787.1610000000001</c:v>
                </c:pt>
                <c:pt idx="4">
                  <c:v>7558.5519999999997</c:v>
                </c:pt>
                <c:pt idx="5">
                  <c:v>7270.4970000000003</c:v>
                </c:pt>
                <c:pt idx="6">
                  <c:v>6526.6440000000002</c:v>
                </c:pt>
                <c:pt idx="7">
                  <c:v>5656.5240000000003</c:v>
                </c:pt>
                <c:pt idx="8">
                  <c:v>3103.0250000000001</c:v>
                </c:pt>
                <c:pt idx="9">
                  <c:v>4887.5730000000003</c:v>
                </c:pt>
                <c:pt idx="10">
                  <c:v>4143.8810000000003</c:v>
                </c:pt>
                <c:pt idx="11">
                  <c:v>3646.241</c:v>
                </c:pt>
                <c:pt idx="12">
                  <c:v>4137.7889999999998</c:v>
                </c:pt>
                <c:pt idx="13">
                  <c:v>3482.0920000000001</c:v>
                </c:pt>
                <c:pt idx="14">
                  <c:v>4606.6509999999998</c:v>
                </c:pt>
                <c:pt idx="15">
                  <c:v>3916.0819999999999</c:v>
                </c:pt>
                <c:pt idx="16">
                  <c:v>3795.3069999999998</c:v>
                </c:pt>
                <c:pt idx="17">
                  <c:v>3573.2890000000002</c:v>
                </c:pt>
                <c:pt idx="18">
                  <c:v>3294.424</c:v>
                </c:pt>
                <c:pt idx="19">
                  <c:v>3283.3490000000002</c:v>
                </c:pt>
                <c:pt idx="20">
                  <c:v>2357.0630000000001</c:v>
                </c:pt>
                <c:pt idx="21">
                  <c:v>2778.578</c:v>
                </c:pt>
                <c:pt idx="22">
                  <c:v>2310.9960000000001</c:v>
                </c:pt>
                <c:pt idx="23">
                  <c:v>1558.155</c:v>
                </c:pt>
                <c:pt idx="24">
                  <c:v>1886.471</c:v>
                </c:pt>
                <c:pt idx="25">
                  <c:v>1800</c:v>
                </c:pt>
                <c:pt idx="26">
                  <c:v>1440.1006563153501</c:v>
                </c:pt>
              </c:numCache>
            </c:numRef>
          </c:val>
          <c:extLst xmlns:c16r2="http://schemas.microsoft.com/office/drawing/2015/06/chart">
            <c:ext xmlns:c16="http://schemas.microsoft.com/office/drawing/2014/chart" uri="{C3380CC4-5D6E-409C-BE32-E72D297353CC}">
              <c16:uniqueId val="{00000000-6E8D-471F-ACF0-6D0E4DEDAC83}"/>
            </c:ext>
          </c:extLst>
        </c:ser>
        <c:dLbls>
          <c:showLegendKey val="0"/>
          <c:showVal val="0"/>
          <c:showCatName val="0"/>
          <c:showSerName val="0"/>
          <c:showPercent val="0"/>
          <c:showBubbleSize val="0"/>
        </c:dLbls>
        <c:gapWidth val="134"/>
        <c:overlap val="-27"/>
        <c:axId val="248024792"/>
        <c:axId val="347032200"/>
      </c:barChart>
      <c:catAx>
        <c:axId val="248024792"/>
        <c:scaling>
          <c:orientation val="minMax"/>
        </c:scaling>
        <c:delete val="0"/>
        <c:axPos val="b"/>
        <c:numFmt formatCode="General" sourceLinked="1"/>
        <c:majorTickMark val="none"/>
        <c:minorTickMark val="none"/>
        <c:tickLblPos val="nextTo"/>
        <c:spPr>
          <a:noFill/>
          <a:ln w="12700" cap="flat" cmpd="sng" algn="ctr">
            <a:solidFill>
              <a:schemeClr val="bg2">
                <a:lumMod val="50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crossAx val="347032200"/>
        <c:crosses val="autoZero"/>
        <c:auto val="1"/>
        <c:lblAlgn val="ctr"/>
        <c:lblOffset val="100"/>
        <c:noMultiLvlLbl val="0"/>
      </c:catAx>
      <c:valAx>
        <c:axId val="347032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12700">
            <a:solidFill>
              <a:schemeClr val="bg2">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crossAx val="2480247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charset="0"/>
          <a:ea typeface="Times New Roman" charset="0"/>
          <a:cs typeface="Times New Roman" charset="0"/>
        </a:defRPr>
      </a:pPr>
      <a:endParaRPr lang="es-CL"/>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charset="0"/>
                <a:ea typeface="Times New Roman" charset="0"/>
                <a:cs typeface="Times New Roman" charset="0"/>
              </a:defRPr>
            </a:pPr>
            <a:r>
              <a:rPr lang="es-CL" sz="1200" b="1"/>
              <a:t>Gr</a:t>
            </a:r>
            <a:r>
              <a:rPr lang="en-US" sz="1200" b="1"/>
              <a:t>áfico</a:t>
            </a:r>
            <a:r>
              <a:rPr lang="es-CL" sz="1200" b="1"/>
              <a:t> 8.</a:t>
            </a:r>
            <a:r>
              <a:rPr lang="es-CL" sz="1200" b="1" baseline="0"/>
              <a:t> </a:t>
            </a:r>
            <a:r>
              <a:rPr lang="es-CL" sz="1200" b="1"/>
              <a:t>Producci</a:t>
            </a:r>
            <a:r>
              <a:rPr lang="en-US" sz="1200" b="1"/>
              <a:t>ón acuícola: salmón,</a:t>
            </a:r>
            <a:r>
              <a:rPr lang="en-US" sz="1200" b="1" baseline="0"/>
              <a:t> truchas y otros,</a:t>
            </a:r>
            <a:r>
              <a:rPr lang="en-US" sz="1200" b="1"/>
              <a:t> </a:t>
            </a:r>
            <a:r>
              <a:rPr lang="en-US" sz="1200" b="1" baseline="0"/>
              <a:t>1990-2016</a:t>
            </a:r>
          </a:p>
          <a:p>
            <a:pPr>
              <a:defRPr/>
            </a:pPr>
            <a:r>
              <a:rPr lang="en-US" sz="1200" b="0" i="0" u="none" strike="noStrike" baseline="0">
                <a:effectLst/>
              </a:rPr>
              <a:t>(miles de </a:t>
            </a:r>
            <a:r>
              <a:rPr lang="en-US" sz="1200" b="0" i="0" u="none" strike="noStrike" baseline="0">
                <a:solidFill>
                  <a:sysClr val="windowText" lastClr="000000"/>
                </a:solidFill>
                <a:effectLst/>
              </a:rPr>
              <a:t>TM y % de crecimiento)</a:t>
            </a:r>
            <a:endParaRPr lang="es-CL" sz="1200">
              <a:solidFill>
                <a:sysClr val="windowText" lastClr="000000"/>
              </a:solidFill>
            </a:endParaRPr>
          </a:p>
        </c:rich>
      </c:tx>
      <c:layout>
        <c:manualLayout>
          <c:xMode val="edge"/>
          <c:yMode val="edge"/>
          <c:x val="0.121550903901047"/>
          <c:y val="1.1396011396011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charset="0"/>
              <a:ea typeface="Times New Roman" charset="0"/>
              <a:cs typeface="Times New Roman" charset="0"/>
            </a:defRPr>
          </a:pPr>
          <a:endParaRPr lang="es-CL"/>
        </a:p>
      </c:txPr>
    </c:title>
    <c:autoTitleDeleted val="0"/>
    <c:plotArea>
      <c:layout>
        <c:manualLayout>
          <c:layoutTarget val="inner"/>
          <c:xMode val="edge"/>
          <c:yMode val="edge"/>
          <c:x val="7.8272661207548902E-2"/>
          <c:y val="0.17837868557028699"/>
          <c:w val="0.84287199292762005"/>
          <c:h val="0.71577450254615604"/>
        </c:manualLayout>
      </c:layout>
      <c:barChart>
        <c:barDir val="col"/>
        <c:grouping val="clustered"/>
        <c:varyColors val="0"/>
        <c:ser>
          <c:idx val="1"/>
          <c:order val="0"/>
          <c:tx>
            <c:v>Producción Acuícola (Miles TM)</c:v>
          </c:tx>
          <c:spPr>
            <a:solidFill>
              <a:schemeClr val="accent5">
                <a:lumMod val="60000"/>
                <a:lumOff val="40000"/>
              </a:schemeClr>
            </a:solidFill>
            <a:ln>
              <a:noFill/>
            </a:ln>
            <a:effectLst/>
          </c:spPr>
          <c:invertIfNegative val="0"/>
          <c:cat>
            <c:numRef>
              <c:f>G.8!$B$3:$B$29</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G.8!$C$3:$C$29</c:f>
              <c:numCache>
                <c:formatCode>#,##0</c:formatCode>
                <c:ptCount val="27"/>
                <c:pt idx="0">
                  <c:v>28.602</c:v>
                </c:pt>
                <c:pt idx="1">
                  <c:v>42.468000000000011</c:v>
                </c:pt>
                <c:pt idx="2">
                  <c:v>62.188000000000002</c:v>
                </c:pt>
                <c:pt idx="3">
                  <c:v>77.445999999999998</c:v>
                </c:pt>
                <c:pt idx="4">
                  <c:v>101.944</c:v>
                </c:pt>
                <c:pt idx="5">
                  <c:v>141.37700000000001</c:v>
                </c:pt>
                <c:pt idx="6">
                  <c:v>199.08500000000001</c:v>
                </c:pt>
                <c:pt idx="7">
                  <c:v>247.97</c:v>
                </c:pt>
                <c:pt idx="8">
                  <c:v>259.23599999999891</c:v>
                </c:pt>
                <c:pt idx="9">
                  <c:v>230.18799999999999</c:v>
                </c:pt>
                <c:pt idx="10">
                  <c:v>342.40599999999961</c:v>
                </c:pt>
                <c:pt idx="11">
                  <c:v>504.42200000000003</c:v>
                </c:pt>
                <c:pt idx="12">
                  <c:v>482.392</c:v>
                </c:pt>
                <c:pt idx="13">
                  <c:v>488.23099999999891</c:v>
                </c:pt>
                <c:pt idx="14">
                  <c:v>569.04499999999996</c:v>
                </c:pt>
                <c:pt idx="15">
                  <c:v>614.13900000000001</c:v>
                </c:pt>
                <c:pt idx="16">
                  <c:v>647.26300000000003</c:v>
                </c:pt>
                <c:pt idx="17">
                  <c:v>602.83499999999913</c:v>
                </c:pt>
                <c:pt idx="18">
                  <c:v>630.64699999999937</c:v>
                </c:pt>
                <c:pt idx="19">
                  <c:v>605.56599999999889</c:v>
                </c:pt>
                <c:pt idx="20">
                  <c:v>466.85700000000008</c:v>
                </c:pt>
                <c:pt idx="21">
                  <c:v>649.46899999999937</c:v>
                </c:pt>
                <c:pt idx="22">
                  <c:v>817.67200000000003</c:v>
                </c:pt>
                <c:pt idx="23">
                  <c:v>780.57100000000003</c:v>
                </c:pt>
                <c:pt idx="24">
                  <c:v>968.09900000000005</c:v>
                </c:pt>
                <c:pt idx="25">
                  <c:v>830.279</c:v>
                </c:pt>
                <c:pt idx="26">
                  <c:v>727.81199999999876</c:v>
                </c:pt>
              </c:numCache>
            </c:numRef>
          </c:val>
          <c:extLst xmlns:c16r2="http://schemas.microsoft.com/office/drawing/2015/06/chart">
            <c:ext xmlns:c16="http://schemas.microsoft.com/office/drawing/2014/chart" uri="{C3380CC4-5D6E-409C-BE32-E72D297353CC}">
              <c16:uniqueId val="{00000001-A997-461D-B144-2CA8AAF06553}"/>
            </c:ext>
          </c:extLst>
        </c:ser>
        <c:dLbls>
          <c:showLegendKey val="0"/>
          <c:showVal val="0"/>
          <c:showCatName val="0"/>
          <c:showSerName val="0"/>
          <c:showPercent val="0"/>
          <c:showBubbleSize val="0"/>
        </c:dLbls>
        <c:gapWidth val="127"/>
        <c:axId val="347032984"/>
        <c:axId val="347033376"/>
      </c:barChart>
      <c:lineChart>
        <c:grouping val="standard"/>
        <c:varyColors val="0"/>
        <c:ser>
          <c:idx val="0"/>
          <c:order val="1"/>
          <c:tx>
            <c:v>Tasa Crecimiento Anual Medio (10 años)</c:v>
          </c:tx>
          <c:spPr>
            <a:ln w="28575" cap="rnd">
              <a:solidFill>
                <a:srgbClr val="002060"/>
              </a:solidFill>
              <a:round/>
            </a:ln>
            <a:effectLst/>
          </c:spPr>
          <c:marker>
            <c:symbol val="none"/>
          </c:marker>
          <c:cat>
            <c:numRef>
              <c:f>G.8!$B$3:$B$29</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G.8!$D$3:$D$29</c:f>
              <c:numCache>
                <c:formatCode>0.0%</c:formatCode>
                <c:ptCount val="27"/>
                <c:pt idx="0">
                  <c:v>0.39477340141929201</c:v>
                </c:pt>
                <c:pt idx="1">
                  <c:v>0.38742179162568802</c:v>
                </c:pt>
                <c:pt idx="2">
                  <c:v>0.37154197815018403</c:v>
                </c:pt>
                <c:pt idx="3">
                  <c:v>0.34855997409657502</c:v>
                </c:pt>
                <c:pt idx="4">
                  <c:v>0.32565214159344702</c:v>
                </c:pt>
                <c:pt idx="5">
                  <c:v>0.30778839766385802</c:v>
                </c:pt>
                <c:pt idx="6">
                  <c:v>0.295291507384143</c:v>
                </c:pt>
                <c:pt idx="7">
                  <c:v>0.279190255618459</c:v>
                </c:pt>
                <c:pt idx="8">
                  <c:v>0.25164442534499998</c:v>
                </c:pt>
                <c:pt idx="9">
                  <c:v>0.211767067757543</c:v>
                </c:pt>
                <c:pt idx="10">
                  <c:v>0.19327218378334701</c:v>
                </c:pt>
                <c:pt idx="11">
                  <c:v>0.19513679806947901</c:v>
                </c:pt>
                <c:pt idx="12">
                  <c:v>0.18001909649202999</c:v>
                </c:pt>
                <c:pt idx="13">
                  <c:v>0.16046173005014799</c:v>
                </c:pt>
                <c:pt idx="14">
                  <c:v>0.14493794121407799</c:v>
                </c:pt>
                <c:pt idx="15">
                  <c:v>0.12958172520179601</c:v>
                </c:pt>
                <c:pt idx="16">
                  <c:v>0.11541513710587099</c:v>
                </c:pt>
                <c:pt idx="17">
                  <c:v>9.8541456542706296E-2</c:v>
                </c:pt>
                <c:pt idx="18">
                  <c:v>8.5058047175059798E-2</c:v>
                </c:pt>
                <c:pt idx="19">
                  <c:v>6.6130039981571201E-2</c:v>
                </c:pt>
                <c:pt idx="20">
                  <c:v>2.9880431045501501E-2</c:v>
                </c:pt>
                <c:pt idx="21">
                  <c:v>1.8000704694845701E-2</c:v>
                </c:pt>
                <c:pt idx="22">
                  <c:v>3.01337244429517E-2</c:v>
                </c:pt>
                <c:pt idx="23">
                  <c:v>3.20725027083383E-2</c:v>
                </c:pt>
                <c:pt idx="24">
                  <c:v>4.2187625600792603E-2</c:v>
                </c:pt>
                <c:pt idx="25">
                  <c:v>4.3544360027462099E-2</c:v>
                </c:pt>
                <c:pt idx="26">
                  <c:v>3.9157170829305303E-2</c:v>
                </c:pt>
              </c:numCache>
            </c:numRef>
          </c:val>
          <c:smooth val="0"/>
          <c:extLst xmlns:c16r2="http://schemas.microsoft.com/office/drawing/2015/06/chart">
            <c:ext xmlns:c16="http://schemas.microsoft.com/office/drawing/2014/chart" uri="{C3380CC4-5D6E-409C-BE32-E72D297353CC}">
              <c16:uniqueId val="{00000000-A997-461D-B144-2CA8AAF06553}"/>
            </c:ext>
          </c:extLst>
        </c:ser>
        <c:dLbls>
          <c:showLegendKey val="0"/>
          <c:showVal val="0"/>
          <c:showCatName val="0"/>
          <c:showSerName val="0"/>
          <c:showPercent val="0"/>
          <c:showBubbleSize val="0"/>
        </c:dLbls>
        <c:marker val="1"/>
        <c:smooth val="0"/>
        <c:axId val="347034160"/>
        <c:axId val="347033768"/>
      </c:lineChart>
      <c:catAx>
        <c:axId val="347032984"/>
        <c:scaling>
          <c:orientation val="minMax"/>
        </c:scaling>
        <c:delete val="0"/>
        <c:axPos val="b"/>
        <c:numFmt formatCode="General" sourceLinked="1"/>
        <c:majorTickMark val="none"/>
        <c:minorTickMark val="none"/>
        <c:tickLblPos val="nextTo"/>
        <c:spPr>
          <a:noFill/>
          <a:ln w="12700" cap="flat" cmpd="sng" algn="ctr">
            <a:solidFill>
              <a:schemeClr val="bg2">
                <a:lumMod val="50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crossAx val="347033376"/>
        <c:crosses val="autoZero"/>
        <c:auto val="1"/>
        <c:lblAlgn val="ctr"/>
        <c:lblOffset val="100"/>
        <c:noMultiLvlLbl val="0"/>
      </c:catAx>
      <c:valAx>
        <c:axId val="347033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12700">
            <a:solidFill>
              <a:schemeClr val="bg2">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crossAx val="347032984"/>
        <c:crosses val="autoZero"/>
        <c:crossBetween val="between"/>
      </c:valAx>
      <c:valAx>
        <c:axId val="347033768"/>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crossAx val="347034160"/>
        <c:crosses val="max"/>
        <c:crossBetween val="between"/>
      </c:valAx>
      <c:catAx>
        <c:axId val="347034160"/>
        <c:scaling>
          <c:orientation val="minMax"/>
        </c:scaling>
        <c:delete val="1"/>
        <c:axPos val="b"/>
        <c:numFmt formatCode="General" sourceLinked="1"/>
        <c:majorTickMark val="out"/>
        <c:minorTickMark val="none"/>
        <c:tickLblPos val="nextTo"/>
        <c:crossAx val="347033768"/>
        <c:crosses val="autoZero"/>
        <c:auto val="1"/>
        <c:lblAlgn val="ctr"/>
        <c:lblOffset val="100"/>
        <c:noMultiLvlLbl val="0"/>
      </c:cat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ysClr val="windowText" lastClr="000000"/>
          </a:solidFill>
          <a:latin typeface="Times New Roman" charset="0"/>
          <a:ea typeface="Times New Roman" charset="0"/>
          <a:cs typeface="Times New Roman" charset="0"/>
        </a:defRPr>
      </a:pPr>
      <a:endParaRPr lang="es-CL"/>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ysClr val="windowText" lastClr="000000"/>
                </a:solidFill>
                <a:latin typeface="Times New Roman" charset="0"/>
                <a:ea typeface="Times New Roman" charset="0"/>
                <a:cs typeface="Times New Roman" charset="0"/>
              </a:defRPr>
            </a:pPr>
            <a:r>
              <a:rPr lang="es-CL" sz="1200" b="1"/>
              <a:t>Gráfico 9. Producción física de commodities,</a:t>
            </a:r>
            <a:r>
              <a:rPr lang="es-CL" sz="1200" b="1" baseline="0"/>
              <a:t> </a:t>
            </a:r>
            <a:r>
              <a:rPr lang="es-CL" sz="1200" b="1"/>
              <a:t>1990-2016</a:t>
            </a:r>
          </a:p>
          <a:p>
            <a:pPr>
              <a:defRPr sz="1600"/>
            </a:pPr>
            <a:r>
              <a:rPr lang="es-CL" sz="1200" b="0"/>
              <a:t>(media anual de crecimiento, %)</a:t>
            </a:r>
          </a:p>
        </c:rich>
      </c:tx>
      <c:layout>
        <c:manualLayout>
          <c:xMode val="edge"/>
          <c:yMode val="edge"/>
          <c:x val="0.17451991577975801"/>
          <c:y val="2.4234947904239201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ysClr val="windowText" lastClr="000000"/>
              </a:solidFill>
              <a:latin typeface="Times New Roman" charset="0"/>
              <a:ea typeface="Times New Roman" charset="0"/>
              <a:cs typeface="Times New Roman" charset="0"/>
            </a:defRPr>
          </a:pPr>
          <a:endParaRPr lang="es-CL"/>
        </a:p>
      </c:txPr>
    </c:title>
    <c:autoTitleDeleted val="0"/>
    <c:plotArea>
      <c:layout>
        <c:manualLayout>
          <c:layoutTarget val="inner"/>
          <c:xMode val="edge"/>
          <c:yMode val="edge"/>
          <c:x val="0.12311652954562299"/>
          <c:y val="0.13578802722556599"/>
          <c:w val="0.83652590610947597"/>
          <c:h val="0.63063373045905802"/>
        </c:manualLayout>
      </c:layout>
      <c:barChart>
        <c:barDir val="col"/>
        <c:grouping val="clustered"/>
        <c:varyColors val="0"/>
        <c:ser>
          <c:idx val="0"/>
          <c:order val="0"/>
          <c:tx>
            <c:strRef>
              <c:f>G.9!$E$2</c:f>
              <c:strCache>
                <c:ptCount val="1"/>
                <c:pt idx="0">
                  <c:v>1990-2003</c:v>
                </c:pt>
              </c:strCache>
            </c:strRef>
          </c:tx>
          <c:spPr>
            <a:solidFill>
              <a:schemeClr val="accent5">
                <a:lumMod val="60000"/>
                <a:lumOff val="40000"/>
              </a:schemeClr>
            </a:solidFill>
            <a:ln>
              <a:solidFill>
                <a:schemeClr val="accent5">
                  <a:lumMod val="60000"/>
                  <a:lumOff val="40000"/>
                </a:schemeClr>
              </a:solidFill>
            </a:ln>
            <a:effectLst/>
          </c:spPr>
          <c:invertIfNegative val="0"/>
          <c:dLbls>
            <c:dLbl>
              <c:idx val="0"/>
              <c:layout>
                <c:manualLayout>
                  <c:x val="-2.9418420457117001E-2"/>
                  <c:y val="-0.17146554513102599"/>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G.9!$B$3:$B$14</c:f>
              <c:strCache>
                <c:ptCount val="12"/>
                <c:pt idx="0">
                  <c:v>Capturas Pesq. (TM)</c:v>
                </c:pt>
                <c:pt idx="1">
                  <c:v>Frutas (TM)</c:v>
                </c:pt>
                <c:pt idx="2">
                  <c:v>Oro (Kg)</c:v>
                </c:pt>
                <c:pt idx="3">
                  <c:v>Plata (Kg)</c:v>
                </c:pt>
                <c:pt idx="4">
                  <c:v>Papeles y Cartones (TM)</c:v>
                </c:pt>
                <c:pt idx="5">
                  <c:v>Molibdeno (TM)</c:v>
                </c:pt>
                <c:pt idx="6">
                  <c:v>Vino y Pisco (litros)</c:v>
                </c:pt>
                <c:pt idx="7">
                  <c:v>Cobre (TM)</c:v>
                </c:pt>
                <c:pt idx="8">
                  <c:v>Celulosa (TM)</c:v>
                </c:pt>
                <c:pt idx="9">
                  <c:v>Compuestos de Litio (TM)</c:v>
                </c:pt>
                <c:pt idx="10">
                  <c:v>Tableros y Chapas (TM)</c:v>
                </c:pt>
                <c:pt idx="11">
                  <c:v>Salmón y Trucha (TM)</c:v>
                </c:pt>
              </c:strCache>
            </c:strRef>
          </c:cat>
          <c:val>
            <c:numRef>
              <c:f>G.9!$E$3:$E$14</c:f>
              <c:numCache>
                <c:formatCode>0.0</c:formatCode>
                <c:ptCount val="12"/>
                <c:pt idx="0">
                  <c:v>-2.7664994558895821</c:v>
                </c:pt>
                <c:pt idx="1">
                  <c:v>1.8452763935797201</c:v>
                </c:pt>
                <c:pt idx="2">
                  <c:v>2.71356091767323</c:v>
                </c:pt>
                <c:pt idx="3">
                  <c:v>5.4987871721541302</c:v>
                </c:pt>
                <c:pt idx="4">
                  <c:v>6.8850550729047777</c:v>
                </c:pt>
                <c:pt idx="5">
                  <c:v>7.011265101762997</c:v>
                </c:pt>
                <c:pt idx="6">
                  <c:v>7.8012328398433084</c:v>
                </c:pt>
                <c:pt idx="7">
                  <c:v>9.0591670778491107</c:v>
                </c:pt>
                <c:pt idx="8">
                  <c:v>9.9490422604739948</c:v>
                </c:pt>
                <c:pt idx="9">
                  <c:v>11.689431362924861</c:v>
                </c:pt>
                <c:pt idx="10">
                  <c:v>13.14680295757482</c:v>
                </c:pt>
                <c:pt idx="11">
                  <c:v>24.39039365688242</c:v>
                </c:pt>
              </c:numCache>
            </c:numRef>
          </c:val>
          <c:extLst xmlns:c16r2="http://schemas.microsoft.com/office/drawing/2015/06/chart">
            <c:ext xmlns:c16="http://schemas.microsoft.com/office/drawing/2014/chart" uri="{C3380CC4-5D6E-409C-BE32-E72D297353CC}">
              <c16:uniqueId val="{00000000-4CB6-43E7-AEED-2AC596B39948}"/>
            </c:ext>
          </c:extLst>
        </c:ser>
        <c:ser>
          <c:idx val="1"/>
          <c:order val="1"/>
          <c:tx>
            <c:strRef>
              <c:f>G.9!$F$2</c:f>
              <c:strCache>
                <c:ptCount val="1"/>
                <c:pt idx="0">
                  <c:v>2004-2016</c:v>
                </c:pt>
              </c:strCache>
            </c:strRef>
          </c:tx>
          <c:spPr>
            <a:solidFill>
              <a:srgbClr val="FFC000"/>
            </a:solidFill>
            <a:ln>
              <a:noFill/>
            </a:ln>
            <a:effectLst/>
          </c:spPr>
          <c:invertIfNegative val="0"/>
          <c:dLbls>
            <c:dLbl>
              <c:idx val="0"/>
              <c:layout>
                <c:manualLayout>
                  <c:x val="2.7155465037338702E-2"/>
                  <c:y val="-9.058557101261739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G.9!$B$3:$B$14</c:f>
              <c:strCache>
                <c:ptCount val="12"/>
                <c:pt idx="0">
                  <c:v>Capturas Pesq. (TM)</c:v>
                </c:pt>
                <c:pt idx="1">
                  <c:v>Frutas (TM)</c:v>
                </c:pt>
                <c:pt idx="2">
                  <c:v>Oro (Kg)</c:v>
                </c:pt>
                <c:pt idx="3">
                  <c:v>Plata (Kg)</c:v>
                </c:pt>
                <c:pt idx="4">
                  <c:v>Papeles y Cartones (TM)</c:v>
                </c:pt>
                <c:pt idx="5">
                  <c:v>Molibdeno (TM)</c:v>
                </c:pt>
                <c:pt idx="6">
                  <c:v>Vino y Pisco (litros)</c:v>
                </c:pt>
                <c:pt idx="7">
                  <c:v>Cobre (TM)</c:v>
                </c:pt>
                <c:pt idx="8">
                  <c:v>Celulosa (TM)</c:v>
                </c:pt>
                <c:pt idx="9">
                  <c:v>Compuestos de Litio (TM)</c:v>
                </c:pt>
                <c:pt idx="10">
                  <c:v>Tableros y Chapas (TM)</c:v>
                </c:pt>
                <c:pt idx="11">
                  <c:v>Salmón y Trucha (TM)</c:v>
                </c:pt>
              </c:strCache>
            </c:strRef>
          </c:cat>
          <c:val>
            <c:numRef>
              <c:f>G.9!$F$3:$F$14</c:f>
              <c:numCache>
                <c:formatCode>0.0</c:formatCode>
                <c:ptCount val="12"/>
                <c:pt idx="0">
                  <c:v>-9.2352334963303182</c:v>
                </c:pt>
                <c:pt idx="1">
                  <c:v>3.5601447295137589</c:v>
                </c:pt>
                <c:pt idx="2">
                  <c:v>1.235339386619638</c:v>
                </c:pt>
                <c:pt idx="3">
                  <c:v>0.82702311337143897</c:v>
                </c:pt>
                <c:pt idx="4">
                  <c:v>0.367670601256331</c:v>
                </c:pt>
                <c:pt idx="5">
                  <c:v>2.3961617458488682</c:v>
                </c:pt>
                <c:pt idx="6">
                  <c:v>6.130616366337466</c:v>
                </c:pt>
                <c:pt idx="7">
                  <c:v>0.21318686408475801</c:v>
                </c:pt>
                <c:pt idx="8">
                  <c:v>3.67009076156415</c:v>
                </c:pt>
                <c:pt idx="9">
                  <c:v>4.8151451168454358</c:v>
                </c:pt>
                <c:pt idx="10">
                  <c:v>4.2539016778530234</c:v>
                </c:pt>
                <c:pt idx="11">
                  <c:v>2.0718649962333968</c:v>
                </c:pt>
              </c:numCache>
            </c:numRef>
          </c:val>
          <c:extLst xmlns:c16r2="http://schemas.microsoft.com/office/drawing/2015/06/chart">
            <c:ext xmlns:c16="http://schemas.microsoft.com/office/drawing/2014/chart" uri="{C3380CC4-5D6E-409C-BE32-E72D297353CC}">
              <c16:uniqueId val="{00000001-4CB6-43E7-AEED-2AC596B39948}"/>
            </c:ext>
          </c:extLst>
        </c:ser>
        <c:dLbls>
          <c:showLegendKey val="0"/>
          <c:showVal val="0"/>
          <c:showCatName val="0"/>
          <c:showSerName val="0"/>
          <c:showPercent val="0"/>
          <c:showBubbleSize val="0"/>
        </c:dLbls>
        <c:gapWidth val="150"/>
        <c:axId val="347034944"/>
        <c:axId val="248302520"/>
      </c:barChart>
      <c:catAx>
        <c:axId val="347034944"/>
        <c:scaling>
          <c:orientation val="minMax"/>
        </c:scaling>
        <c:delete val="0"/>
        <c:axPos val="b"/>
        <c:numFmt formatCode="General" sourceLinked="1"/>
        <c:majorTickMark val="none"/>
        <c:minorTickMark val="none"/>
        <c:tickLblPos val="nextTo"/>
        <c:spPr>
          <a:noFill/>
          <a:ln w="12700" cap="flat" cmpd="sng" algn="ctr">
            <a:solidFill>
              <a:schemeClr val="bg2">
                <a:lumMod val="50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crossAx val="248302520"/>
        <c:crosses val="autoZero"/>
        <c:auto val="1"/>
        <c:lblAlgn val="ctr"/>
        <c:lblOffset val="100"/>
        <c:noMultiLvlLbl val="0"/>
      </c:catAx>
      <c:valAx>
        <c:axId val="248302520"/>
        <c:scaling>
          <c:orientation val="minMax"/>
          <c:max val="25"/>
          <c:min val="-1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12700">
            <a:solidFill>
              <a:schemeClr val="bg2">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crossAx val="347034944"/>
        <c:crosses val="autoZero"/>
        <c:crossBetween val="between"/>
      </c:valAx>
      <c:spPr>
        <a:noFill/>
        <a:ln>
          <a:noFill/>
        </a:ln>
        <a:effectLst/>
      </c:spPr>
    </c:plotArea>
    <c:legend>
      <c:legendPos val="b"/>
      <c:layout>
        <c:manualLayout>
          <c:xMode val="edge"/>
          <c:yMode val="edge"/>
          <c:x val="9.6007853843205496E-2"/>
          <c:y val="0.15691161714936799"/>
          <c:w val="0.305849230417504"/>
          <c:h val="5.0431795377629603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charset="0"/>
              <a:ea typeface="Times New Roman" charset="0"/>
              <a:cs typeface="Times New Roman" charset="0"/>
            </a:defRPr>
          </a:pPr>
          <a:endParaRPr lang="es-C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solidFill>
            <a:sysClr val="windowText" lastClr="000000"/>
          </a:solidFill>
          <a:latin typeface="Times New Roman" charset="0"/>
          <a:ea typeface="Times New Roman" charset="0"/>
          <a:cs typeface="Times New Roman" charset="0"/>
        </a:defRPr>
      </a:pPr>
      <a:endParaRPr lang="es-C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0.37417</cdr:x>
      <cdr:y>0.91927</cdr:y>
    </cdr:from>
    <cdr:to>
      <cdr:x>0.70839</cdr:x>
      <cdr:y>0.96881</cdr:y>
    </cdr:to>
    <cdr:sp macro="" textlink="">
      <cdr:nvSpPr>
        <cdr:cNvPr id="2" name="CuadroTexto 1">
          <a:extLst xmlns:a="http://schemas.openxmlformats.org/drawingml/2006/main">
            <a:ext uri="{FF2B5EF4-FFF2-40B4-BE49-F238E27FC236}">
              <a16:creationId xmlns:a16="http://schemas.microsoft.com/office/drawing/2014/main" xmlns="" id="{05F29DA1-D76C-43FC-B35F-D0C27DA0AF68}"/>
            </a:ext>
          </a:extLst>
        </cdr:cNvPr>
        <cdr:cNvSpPr txBox="1"/>
      </cdr:nvSpPr>
      <cdr:spPr>
        <a:xfrm xmlns:a="http://schemas.openxmlformats.org/drawingml/2006/main">
          <a:off x="3244272" y="5784273"/>
          <a:ext cx="2897909" cy="31172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L" sz="1100"/>
        </a:p>
      </cdr:txBody>
    </cdr:sp>
  </cdr:relSizeAnchor>
  <cdr:relSizeAnchor xmlns:cdr="http://schemas.openxmlformats.org/drawingml/2006/chartDrawing">
    <cdr:from>
      <cdr:x>0.2996</cdr:x>
      <cdr:y>0.4422</cdr:y>
    </cdr:from>
    <cdr:to>
      <cdr:x>0.38482</cdr:x>
      <cdr:y>0.57064</cdr:y>
    </cdr:to>
    <cdr:cxnSp macro="">
      <cdr:nvCxnSpPr>
        <cdr:cNvPr id="4" name="Conector recto de flecha 3">
          <a:extLst xmlns:a="http://schemas.openxmlformats.org/drawingml/2006/main">
            <a:ext uri="{FF2B5EF4-FFF2-40B4-BE49-F238E27FC236}">
              <a16:creationId xmlns:a16="http://schemas.microsoft.com/office/drawing/2014/main" xmlns="" id="{30AD901E-4ED8-4D1E-972F-F4E61552BF95}"/>
            </a:ext>
          </a:extLst>
        </cdr:cNvPr>
        <cdr:cNvCxnSpPr/>
      </cdr:nvCxnSpPr>
      <cdr:spPr>
        <a:xfrm xmlns:a="http://schemas.openxmlformats.org/drawingml/2006/main">
          <a:off x="2597727" y="2782455"/>
          <a:ext cx="738909" cy="808181"/>
        </a:xfrm>
        <a:prstGeom xmlns:a="http://schemas.openxmlformats.org/drawingml/2006/main" prst="straightConnector1">
          <a:avLst/>
        </a:prstGeom>
        <a:ln xmlns:a="http://schemas.openxmlformats.org/drawingml/2006/main">
          <a:solidFill>
            <a:srgbClr val="C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0.26499</cdr:x>
      <cdr:y>0.38813</cdr:y>
    </cdr:from>
    <cdr:to>
      <cdr:x>0.32609</cdr:x>
      <cdr:y>0.44699</cdr:y>
    </cdr:to>
    <cdr:sp macro="" textlink="">
      <cdr:nvSpPr>
        <cdr:cNvPr id="5" name="CuadroTexto 4">
          <a:extLst xmlns:a="http://schemas.openxmlformats.org/drawingml/2006/main">
            <a:ext uri="{FF2B5EF4-FFF2-40B4-BE49-F238E27FC236}">
              <a16:creationId xmlns:a16="http://schemas.microsoft.com/office/drawing/2014/main" xmlns="" id="{A46EDE6F-3892-405E-A2AE-177F8678DEC9}"/>
            </a:ext>
          </a:extLst>
        </cdr:cNvPr>
        <cdr:cNvSpPr txBox="1"/>
      </cdr:nvSpPr>
      <cdr:spPr>
        <a:xfrm xmlns:a="http://schemas.openxmlformats.org/drawingml/2006/main">
          <a:off x="1487175" y="1507353"/>
          <a:ext cx="3429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0">
              <a:solidFill>
                <a:srgbClr val="C00000"/>
              </a:solidFill>
              <a:latin typeface="Times New Roman" charset="0"/>
              <a:ea typeface="Times New Roman" charset="0"/>
              <a:cs typeface="Times New Roman" charset="0"/>
            </a:rPr>
            <a:t>Chile</a:t>
          </a:r>
        </a:p>
      </cdr:txBody>
    </cdr:sp>
  </cdr:relSizeAnchor>
  <cdr:relSizeAnchor xmlns:cdr="http://schemas.openxmlformats.org/drawingml/2006/chartDrawing">
    <cdr:from>
      <cdr:x>0.18775</cdr:x>
      <cdr:y>0.69725</cdr:y>
    </cdr:from>
    <cdr:to>
      <cdr:x>0.23702</cdr:x>
      <cdr:y>0.74128</cdr:y>
    </cdr:to>
    <cdr:cxnSp macro="">
      <cdr:nvCxnSpPr>
        <cdr:cNvPr id="7" name="Conector recto de flecha 6">
          <a:extLst xmlns:a="http://schemas.openxmlformats.org/drawingml/2006/main">
            <a:ext uri="{FF2B5EF4-FFF2-40B4-BE49-F238E27FC236}">
              <a16:creationId xmlns:a16="http://schemas.microsoft.com/office/drawing/2014/main" xmlns="" id="{BC2D5D89-27B1-45FD-A635-BA60F95722CD}"/>
            </a:ext>
          </a:extLst>
        </cdr:cNvPr>
        <cdr:cNvCxnSpPr/>
      </cdr:nvCxnSpPr>
      <cdr:spPr>
        <a:xfrm xmlns:a="http://schemas.openxmlformats.org/drawingml/2006/main" flipV="1">
          <a:off x="1627909" y="4387273"/>
          <a:ext cx="427182" cy="277091"/>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0.14279</cdr:x>
      <cdr:y>0.71187</cdr:y>
    </cdr:from>
    <cdr:to>
      <cdr:x>0.20022</cdr:x>
      <cdr:y>0.77431</cdr:y>
    </cdr:to>
    <cdr:sp macro="" textlink="">
      <cdr:nvSpPr>
        <cdr:cNvPr id="8" name="CuadroTexto 7">
          <a:extLst xmlns:a="http://schemas.openxmlformats.org/drawingml/2006/main">
            <a:ext uri="{FF2B5EF4-FFF2-40B4-BE49-F238E27FC236}">
              <a16:creationId xmlns:a16="http://schemas.microsoft.com/office/drawing/2014/main" xmlns="" id="{CBD3D89D-35E6-42E0-9A5B-0D508DF61579}"/>
            </a:ext>
          </a:extLst>
        </cdr:cNvPr>
        <cdr:cNvSpPr txBox="1"/>
      </cdr:nvSpPr>
      <cdr:spPr>
        <a:xfrm xmlns:a="http://schemas.openxmlformats.org/drawingml/2006/main">
          <a:off x="801375" y="2764653"/>
          <a:ext cx="322266" cy="24250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0">
              <a:latin typeface="Times New Roman" charset="0"/>
              <a:ea typeface="Times New Roman" charset="0"/>
              <a:cs typeface="Times New Roman" charset="0"/>
            </a:rPr>
            <a:t>Perú</a:t>
          </a:r>
        </a:p>
      </cdr:txBody>
    </cdr:sp>
  </cdr:relSizeAnchor>
  <cdr:relSizeAnchor xmlns:cdr="http://schemas.openxmlformats.org/drawingml/2006/chartDrawing">
    <cdr:from>
      <cdr:x>0.28096</cdr:x>
      <cdr:y>0.68807</cdr:y>
    </cdr:from>
    <cdr:to>
      <cdr:x>0.28229</cdr:x>
      <cdr:y>0.75046</cdr:y>
    </cdr:to>
    <cdr:cxnSp macro="">
      <cdr:nvCxnSpPr>
        <cdr:cNvPr id="10" name="Conector recto de flecha 9">
          <a:extLst xmlns:a="http://schemas.openxmlformats.org/drawingml/2006/main">
            <a:ext uri="{FF2B5EF4-FFF2-40B4-BE49-F238E27FC236}">
              <a16:creationId xmlns:a16="http://schemas.microsoft.com/office/drawing/2014/main" xmlns="" id="{0DF611BD-7909-45ED-9474-21CF3386C88A}"/>
            </a:ext>
          </a:extLst>
        </cdr:cNvPr>
        <cdr:cNvCxnSpPr/>
      </cdr:nvCxnSpPr>
      <cdr:spPr>
        <a:xfrm xmlns:a="http://schemas.openxmlformats.org/drawingml/2006/main" flipV="1">
          <a:off x="2436091" y="4329545"/>
          <a:ext cx="11545" cy="392547"/>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0.24368</cdr:x>
      <cdr:y>0.74495</cdr:y>
    </cdr:from>
    <cdr:to>
      <cdr:x>0.34709</cdr:x>
      <cdr:y>0.80102</cdr:y>
    </cdr:to>
    <cdr:sp macro="" textlink="">
      <cdr:nvSpPr>
        <cdr:cNvPr id="11" name="CuadroTexto 10">
          <a:extLst xmlns:a="http://schemas.openxmlformats.org/drawingml/2006/main">
            <a:ext uri="{FF2B5EF4-FFF2-40B4-BE49-F238E27FC236}">
              <a16:creationId xmlns:a16="http://schemas.microsoft.com/office/drawing/2014/main" xmlns="" id="{80C1D61D-7472-4389-B009-616FD81CC151}"/>
            </a:ext>
          </a:extLst>
        </cdr:cNvPr>
        <cdr:cNvSpPr txBox="1"/>
      </cdr:nvSpPr>
      <cdr:spPr>
        <a:xfrm xmlns:a="http://schemas.openxmlformats.org/drawingml/2006/main">
          <a:off x="1365088" y="2565787"/>
          <a:ext cx="579287" cy="1931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0">
              <a:latin typeface="Times New Roman" charset="0"/>
              <a:ea typeface="Times New Roman" charset="0"/>
              <a:cs typeface="Times New Roman" charset="0"/>
            </a:rPr>
            <a:t>Colombia</a:t>
          </a:r>
        </a:p>
      </cdr:txBody>
    </cdr:sp>
  </cdr:relSizeAnchor>
  <cdr:relSizeAnchor xmlns:cdr="http://schemas.openxmlformats.org/drawingml/2006/chartDrawing">
    <cdr:from>
      <cdr:x>0.1984</cdr:x>
      <cdr:y>0.59633</cdr:y>
    </cdr:from>
    <cdr:to>
      <cdr:x>0.25033</cdr:x>
      <cdr:y>0.64404</cdr:y>
    </cdr:to>
    <cdr:cxnSp macro="">
      <cdr:nvCxnSpPr>
        <cdr:cNvPr id="14" name="Conector recto de flecha 13">
          <a:extLst xmlns:a="http://schemas.openxmlformats.org/drawingml/2006/main">
            <a:ext uri="{FF2B5EF4-FFF2-40B4-BE49-F238E27FC236}">
              <a16:creationId xmlns:a16="http://schemas.microsoft.com/office/drawing/2014/main" xmlns="" id="{43EFF348-7FC2-4460-B683-1073C20BC904}"/>
            </a:ext>
          </a:extLst>
        </cdr:cNvPr>
        <cdr:cNvCxnSpPr/>
      </cdr:nvCxnSpPr>
      <cdr:spPr>
        <a:xfrm xmlns:a="http://schemas.openxmlformats.org/drawingml/2006/main">
          <a:off x="1720273" y="3752273"/>
          <a:ext cx="450272" cy="300182"/>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0.14279</cdr:x>
      <cdr:y>0.53553</cdr:y>
    </cdr:from>
    <cdr:to>
      <cdr:x>0.26547</cdr:x>
      <cdr:y>0.6019</cdr:y>
    </cdr:to>
    <cdr:sp macro="" textlink="">
      <cdr:nvSpPr>
        <cdr:cNvPr id="15" name="CuadroTexto 14">
          <a:extLst xmlns:a="http://schemas.openxmlformats.org/drawingml/2006/main">
            <a:ext uri="{FF2B5EF4-FFF2-40B4-BE49-F238E27FC236}">
              <a16:creationId xmlns:a16="http://schemas.microsoft.com/office/drawing/2014/main" xmlns="" id="{21E54D3B-59B4-4690-B58B-B4D5D859A782}"/>
            </a:ext>
          </a:extLst>
        </cdr:cNvPr>
        <cdr:cNvSpPr txBox="1"/>
      </cdr:nvSpPr>
      <cdr:spPr>
        <a:xfrm xmlns:a="http://schemas.openxmlformats.org/drawingml/2006/main">
          <a:off x="799923" y="1844497"/>
          <a:ext cx="687251"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0">
              <a:latin typeface="Times New Roman" charset="0"/>
              <a:ea typeface="Times New Roman" charset="0"/>
              <a:cs typeface="Times New Roman" charset="0"/>
            </a:rPr>
            <a:t>Costa Rica</a:t>
          </a:r>
        </a:p>
      </cdr:txBody>
    </cdr:sp>
  </cdr:relSizeAnchor>
  <cdr:relSizeAnchor xmlns:cdr="http://schemas.openxmlformats.org/drawingml/2006/chartDrawing">
    <cdr:from>
      <cdr:x>0.16316</cdr:x>
      <cdr:y>0.44699</cdr:y>
    </cdr:from>
    <cdr:to>
      <cdr:x>0.28588</cdr:x>
      <cdr:y>0.50235</cdr:y>
    </cdr:to>
    <cdr:sp macro="" textlink="">
      <cdr:nvSpPr>
        <cdr:cNvPr id="18" name="CuadroTexto 17">
          <a:extLst xmlns:a="http://schemas.openxmlformats.org/drawingml/2006/main">
            <a:ext uri="{FF2B5EF4-FFF2-40B4-BE49-F238E27FC236}">
              <a16:creationId xmlns:a16="http://schemas.microsoft.com/office/drawing/2014/main" xmlns="" id="{116020BD-EB77-4B5C-BF3C-0E5A8D0255B0}"/>
            </a:ext>
          </a:extLst>
        </cdr:cNvPr>
        <cdr:cNvSpPr txBox="1"/>
      </cdr:nvSpPr>
      <cdr:spPr>
        <a:xfrm xmlns:a="http://schemas.openxmlformats.org/drawingml/2006/main">
          <a:off x="914017" y="1539537"/>
          <a:ext cx="687458" cy="1906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0">
              <a:latin typeface="Times New Roman" charset="0"/>
              <a:ea typeface="Times New Roman" charset="0"/>
              <a:cs typeface="Times New Roman" charset="0"/>
            </a:rPr>
            <a:t>Argentina</a:t>
          </a:r>
        </a:p>
      </cdr:txBody>
    </cdr:sp>
  </cdr:relSizeAnchor>
  <cdr:relSizeAnchor xmlns:cdr="http://schemas.openxmlformats.org/drawingml/2006/chartDrawing">
    <cdr:from>
      <cdr:x>0.249</cdr:x>
      <cdr:y>0.51193</cdr:y>
    </cdr:from>
    <cdr:to>
      <cdr:x>0.31691</cdr:x>
      <cdr:y>0.58716</cdr:y>
    </cdr:to>
    <cdr:cxnSp macro="">
      <cdr:nvCxnSpPr>
        <cdr:cNvPr id="20" name="Conector recto de flecha 19">
          <a:extLst xmlns:a="http://schemas.openxmlformats.org/drawingml/2006/main">
            <a:ext uri="{FF2B5EF4-FFF2-40B4-BE49-F238E27FC236}">
              <a16:creationId xmlns:a16="http://schemas.microsoft.com/office/drawing/2014/main" xmlns="" id="{BBE96B48-008B-4697-9AA8-9F69859856BF}"/>
            </a:ext>
          </a:extLst>
        </cdr:cNvPr>
        <cdr:cNvCxnSpPr/>
      </cdr:nvCxnSpPr>
      <cdr:spPr>
        <a:xfrm xmlns:a="http://schemas.openxmlformats.org/drawingml/2006/main">
          <a:off x="2159000" y="3221182"/>
          <a:ext cx="588818" cy="473363"/>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0.31292</cdr:x>
      <cdr:y>0.69908</cdr:y>
    </cdr:from>
    <cdr:to>
      <cdr:x>0.4083</cdr:x>
      <cdr:y>0.76783</cdr:y>
    </cdr:to>
    <cdr:sp macro="" textlink="">
      <cdr:nvSpPr>
        <cdr:cNvPr id="22" name="CuadroTexto 21">
          <a:extLst xmlns:a="http://schemas.openxmlformats.org/drawingml/2006/main">
            <a:ext uri="{FF2B5EF4-FFF2-40B4-BE49-F238E27FC236}">
              <a16:creationId xmlns:a16="http://schemas.microsoft.com/office/drawing/2014/main" xmlns="" id="{A8409E1C-1582-4F0E-B127-36AD22D054B9}"/>
            </a:ext>
          </a:extLst>
        </cdr:cNvPr>
        <cdr:cNvSpPr txBox="1"/>
      </cdr:nvSpPr>
      <cdr:spPr>
        <a:xfrm xmlns:a="http://schemas.openxmlformats.org/drawingml/2006/main">
          <a:off x="1752967" y="2407799"/>
          <a:ext cx="534307" cy="2367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0">
              <a:latin typeface="Times New Roman" charset="0"/>
              <a:ea typeface="Times New Roman" charset="0"/>
              <a:cs typeface="Times New Roman" charset="0"/>
            </a:rPr>
            <a:t>México</a:t>
          </a:r>
        </a:p>
      </cdr:txBody>
    </cdr:sp>
  </cdr:relSizeAnchor>
  <cdr:relSizeAnchor xmlns:cdr="http://schemas.openxmlformats.org/drawingml/2006/chartDrawing">
    <cdr:from>
      <cdr:x>0.34221</cdr:x>
      <cdr:y>0.65138</cdr:y>
    </cdr:from>
    <cdr:to>
      <cdr:x>0.34221</cdr:x>
      <cdr:y>0.70275</cdr:y>
    </cdr:to>
    <cdr:cxnSp macro="">
      <cdr:nvCxnSpPr>
        <cdr:cNvPr id="24" name="Conector recto de flecha 23">
          <a:extLst xmlns:a="http://schemas.openxmlformats.org/drawingml/2006/main">
            <a:ext uri="{FF2B5EF4-FFF2-40B4-BE49-F238E27FC236}">
              <a16:creationId xmlns:a16="http://schemas.microsoft.com/office/drawing/2014/main" xmlns="" id="{C83C3A3C-650F-4637-8D9B-1A0F8273D4A2}"/>
            </a:ext>
          </a:extLst>
        </cdr:cNvPr>
        <cdr:cNvCxnSpPr/>
      </cdr:nvCxnSpPr>
      <cdr:spPr>
        <a:xfrm xmlns:a="http://schemas.openxmlformats.org/drawingml/2006/main" flipV="1">
          <a:off x="2967182" y="4098636"/>
          <a:ext cx="0" cy="323273"/>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0.4008</cdr:x>
      <cdr:y>0.69908</cdr:y>
    </cdr:from>
    <cdr:to>
      <cdr:x>0.46866</cdr:x>
      <cdr:y>0.77073</cdr:y>
    </cdr:to>
    <cdr:sp macro="" textlink="">
      <cdr:nvSpPr>
        <cdr:cNvPr id="26" name="CuadroTexto 25">
          <a:extLst xmlns:a="http://schemas.openxmlformats.org/drawingml/2006/main">
            <a:ext uri="{FF2B5EF4-FFF2-40B4-BE49-F238E27FC236}">
              <a16:creationId xmlns:a16="http://schemas.microsoft.com/office/drawing/2014/main" xmlns="" id="{06A6FBB5-4453-4D9E-A15E-7A68CD160810}"/>
            </a:ext>
          </a:extLst>
        </cdr:cNvPr>
        <cdr:cNvSpPr txBox="1"/>
      </cdr:nvSpPr>
      <cdr:spPr>
        <a:xfrm xmlns:a="http://schemas.openxmlformats.org/drawingml/2006/main">
          <a:off x="2249342" y="2714989"/>
          <a:ext cx="380833" cy="2782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0">
              <a:latin typeface="Times New Roman" charset="0"/>
              <a:ea typeface="Times New Roman" charset="0"/>
              <a:cs typeface="Times New Roman" charset="0"/>
            </a:rPr>
            <a:t>Brasil</a:t>
          </a:r>
        </a:p>
      </cdr:txBody>
    </cdr:sp>
  </cdr:relSizeAnchor>
  <cdr:relSizeAnchor xmlns:cdr="http://schemas.openxmlformats.org/drawingml/2006/chartDrawing">
    <cdr:from>
      <cdr:x>0.40213</cdr:x>
      <cdr:y>0.66055</cdr:y>
    </cdr:from>
    <cdr:to>
      <cdr:x>0.41411</cdr:x>
      <cdr:y>0.69725</cdr:y>
    </cdr:to>
    <cdr:cxnSp macro="">
      <cdr:nvCxnSpPr>
        <cdr:cNvPr id="28" name="Conector recto de flecha 27">
          <a:extLst xmlns:a="http://schemas.openxmlformats.org/drawingml/2006/main">
            <a:ext uri="{FF2B5EF4-FFF2-40B4-BE49-F238E27FC236}">
              <a16:creationId xmlns:a16="http://schemas.microsoft.com/office/drawing/2014/main" xmlns="" id="{A648085A-6096-4774-9238-8C6308150867}"/>
            </a:ext>
          </a:extLst>
        </cdr:cNvPr>
        <cdr:cNvCxnSpPr/>
      </cdr:nvCxnSpPr>
      <cdr:spPr>
        <a:xfrm xmlns:a="http://schemas.openxmlformats.org/drawingml/2006/main" flipH="1" flipV="1">
          <a:off x="3486727" y="4156364"/>
          <a:ext cx="103909" cy="230909"/>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0.43142</cdr:x>
      <cdr:y>0.65321</cdr:y>
    </cdr:from>
    <cdr:to>
      <cdr:x>0.51798</cdr:x>
      <cdr:y>0.70275</cdr:y>
    </cdr:to>
    <cdr:sp macro="" textlink="">
      <cdr:nvSpPr>
        <cdr:cNvPr id="29" name="CuadroTexto 28">
          <a:extLst xmlns:a="http://schemas.openxmlformats.org/drawingml/2006/main">
            <a:ext uri="{FF2B5EF4-FFF2-40B4-BE49-F238E27FC236}">
              <a16:creationId xmlns:a16="http://schemas.microsoft.com/office/drawing/2014/main" xmlns="" id="{04AAED55-28F9-435F-8D83-E38326A351EB}"/>
            </a:ext>
          </a:extLst>
        </cdr:cNvPr>
        <cdr:cNvSpPr txBox="1"/>
      </cdr:nvSpPr>
      <cdr:spPr>
        <a:xfrm xmlns:a="http://schemas.openxmlformats.org/drawingml/2006/main">
          <a:off x="3740728" y="4110182"/>
          <a:ext cx="750454" cy="31172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0">
              <a:latin typeface="Times New Roman" charset="0"/>
              <a:ea typeface="Times New Roman" charset="0"/>
              <a:cs typeface="Times New Roman" charset="0"/>
            </a:rPr>
            <a:t>Uruguay</a:t>
          </a:r>
        </a:p>
      </cdr:txBody>
    </cdr:sp>
  </cdr:relSizeAnchor>
  <cdr:relSizeAnchor xmlns:cdr="http://schemas.openxmlformats.org/drawingml/2006/chartDrawing">
    <cdr:from>
      <cdr:x>0.44075</cdr:x>
      <cdr:y>0.59817</cdr:y>
    </cdr:from>
    <cdr:to>
      <cdr:x>0.46205</cdr:x>
      <cdr:y>0.65138</cdr:y>
    </cdr:to>
    <cdr:cxnSp macro="">
      <cdr:nvCxnSpPr>
        <cdr:cNvPr id="31" name="Conector recto de flecha 30">
          <a:extLst xmlns:a="http://schemas.openxmlformats.org/drawingml/2006/main">
            <a:ext uri="{FF2B5EF4-FFF2-40B4-BE49-F238E27FC236}">
              <a16:creationId xmlns:a16="http://schemas.microsoft.com/office/drawing/2014/main" xmlns="" id="{8D35B475-9E1B-4BA9-8D2F-7F8282F3DEC6}"/>
            </a:ext>
          </a:extLst>
        </cdr:cNvPr>
        <cdr:cNvCxnSpPr/>
      </cdr:nvCxnSpPr>
      <cdr:spPr>
        <a:xfrm xmlns:a="http://schemas.openxmlformats.org/drawingml/2006/main" flipH="1" flipV="1">
          <a:off x="3821545" y="3763819"/>
          <a:ext cx="184728" cy="334817"/>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0.73502</cdr:x>
      <cdr:y>0.17049</cdr:y>
    </cdr:from>
    <cdr:to>
      <cdr:x>0.81637</cdr:x>
      <cdr:y>0.21651</cdr:y>
    </cdr:to>
    <cdr:sp macro="" textlink="">
      <cdr:nvSpPr>
        <cdr:cNvPr id="33" name="CuadroTexto 32">
          <a:extLst xmlns:a="http://schemas.openxmlformats.org/drawingml/2006/main">
            <a:ext uri="{FF2B5EF4-FFF2-40B4-BE49-F238E27FC236}">
              <a16:creationId xmlns:a16="http://schemas.microsoft.com/office/drawing/2014/main" xmlns="" id="{05E0BA0E-0105-4DE9-8BA5-F2F2E3FF94F2}"/>
            </a:ext>
          </a:extLst>
        </cdr:cNvPr>
        <cdr:cNvSpPr txBox="1"/>
      </cdr:nvSpPr>
      <cdr:spPr>
        <a:xfrm xmlns:a="http://schemas.openxmlformats.org/drawingml/2006/main">
          <a:off x="4117559" y="587197"/>
          <a:ext cx="455715" cy="158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0">
              <a:latin typeface="Times New Roman" charset="0"/>
              <a:ea typeface="Times New Roman" charset="0"/>
              <a:cs typeface="Times New Roman" charset="0"/>
            </a:rPr>
            <a:t>EEUU</a:t>
          </a:r>
        </a:p>
      </cdr:txBody>
    </cdr:sp>
  </cdr:relSizeAnchor>
  <cdr:relSizeAnchor xmlns:cdr="http://schemas.openxmlformats.org/drawingml/2006/chartDrawing">
    <cdr:from>
      <cdr:x>0.77097</cdr:x>
      <cdr:y>0.40367</cdr:y>
    </cdr:from>
    <cdr:to>
      <cdr:x>0.83755</cdr:x>
      <cdr:y>0.44954</cdr:y>
    </cdr:to>
    <cdr:sp macro="" textlink="">
      <cdr:nvSpPr>
        <cdr:cNvPr id="34" name="CuadroTexto 33">
          <a:extLst xmlns:a="http://schemas.openxmlformats.org/drawingml/2006/main">
            <a:ext uri="{FF2B5EF4-FFF2-40B4-BE49-F238E27FC236}">
              <a16:creationId xmlns:a16="http://schemas.microsoft.com/office/drawing/2014/main" xmlns="" id="{036ACC12-695D-45C7-B855-AA31DEEB2BDA}"/>
            </a:ext>
          </a:extLst>
        </cdr:cNvPr>
        <cdr:cNvSpPr txBox="1"/>
      </cdr:nvSpPr>
      <cdr:spPr>
        <a:xfrm xmlns:a="http://schemas.openxmlformats.org/drawingml/2006/main">
          <a:off x="6684818" y="2540001"/>
          <a:ext cx="577273" cy="2886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0">
              <a:latin typeface="Times New Roman" charset="0"/>
              <a:ea typeface="Times New Roman" charset="0"/>
              <a:cs typeface="Times New Roman" charset="0"/>
            </a:rPr>
            <a:t>Francia</a:t>
          </a:r>
        </a:p>
      </cdr:txBody>
    </cdr:sp>
  </cdr:relSizeAnchor>
  <cdr:relSizeAnchor xmlns:cdr="http://schemas.openxmlformats.org/drawingml/2006/chartDrawing">
    <cdr:from>
      <cdr:x>0.81625</cdr:x>
      <cdr:y>0.38899</cdr:y>
    </cdr:from>
    <cdr:to>
      <cdr:x>0.87617</cdr:x>
      <cdr:y>0.41651</cdr:y>
    </cdr:to>
    <cdr:cxnSp macro="">
      <cdr:nvCxnSpPr>
        <cdr:cNvPr id="36" name="Conector recto de flecha 35">
          <a:extLst xmlns:a="http://schemas.openxmlformats.org/drawingml/2006/main">
            <a:ext uri="{FF2B5EF4-FFF2-40B4-BE49-F238E27FC236}">
              <a16:creationId xmlns:a16="http://schemas.microsoft.com/office/drawing/2014/main" xmlns="" id="{DFB567B0-BE96-4035-8A69-A60131D0AF27}"/>
            </a:ext>
          </a:extLst>
        </cdr:cNvPr>
        <cdr:cNvCxnSpPr/>
      </cdr:nvCxnSpPr>
      <cdr:spPr>
        <a:xfrm xmlns:a="http://schemas.openxmlformats.org/drawingml/2006/main" flipV="1">
          <a:off x="7077364" y="2447637"/>
          <a:ext cx="519545" cy="173181"/>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0.52976</cdr:x>
      <cdr:y>0.3587</cdr:y>
    </cdr:from>
    <cdr:to>
      <cdr:x>0.67232</cdr:x>
      <cdr:y>0.41756</cdr:y>
    </cdr:to>
    <cdr:sp macro="" textlink="">
      <cdr:nvSpPr>
        <cdr:cNvPr id="38" name="CuadroTexto 37">
          <a:extLst xmlns:a="http://schemas.openxmlformats.org/drawingml/2006/main">
            <a:ext uri="{FF2B5EF4-FFF2-40B4-BE49-F238E27FC236}">
              <a16:creationId xmlns:a16="http://schemas.microsoft.com/office/drawing/2014/main" xmlns="" id="{42781DD3-59D9-4A77-8501-3D10480A8935}"/>
            </a:ext>
          </a:extLst>
        </cdr:cNvPr>
        <cdr:cNvSpPr txBox="1"/>
      </cdr:nvSpPr>
      <cdr:spPr>
        <a:xfrm xmlns:a="http://schemas.openxmlformats.org/drawingml/2006/main">
          <a:off x="2973075" y="1393053"/>
          <a:ext cx="8001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0">
              <a:latin typeface="Times New Roman" charset="0"/>
              <a:ea typeface="Times New Roman" charset="0"/>
              <a:cs typeface="Times New Roman" charset="0"/>
            </a:rPr>
            <a:t>Corea del Sur</a:t>
          </a:r>
        </a:p>
      </cdr:txBody>
    </cdr:sp>
  </cdr:relSizeAnchor>
  <cdr:relSizeAnchor xmlns:cdr="http://schemas.openxmlformats.org/drawingml/2006/chartDrawing">
    <cdr:from>
      <cdr:x>0.62983</cdr:x>
      <cdr:y>0.41284</cdr:y>
    </cdr:from>
    <cdr:to>
      <cdr:x>0.67776</cdr:x>
      <cdr:y>0.42752</cdr:y>
    </cdr:to>
    <cdr:cxnSp macro="">
      <cdr:nvCxnSpPr>
        <cdr:cNvPr id="40" name="Conector recto de flecha 39">
          <a:extLst xmlns:a="http://schemas.openxmlformats.org/drawingml/2006/main">
            <a:ext uri="{FF2B5EF4-FFF2-40B4-BE49-F238E27FC236}">
              <a16:creationId xmlns:a16="http://schemas.microsoft.com/office/drawing/2014/main" xmlns="" id="{353D49E7-761C-43A6-B81F-F27ED9B041B8}"/>
            </a:ext>
          </a:extLst>
        </cdr:cNvPr>
        <cdr:cNvCxnSpPr/>
      </cdr:nvCxnSpPr>
      <cdr:spPr>
        <a:xfrm xmlns:a="http://schemas.openxmlformats.org/drawingml/2006/main">
          <a:off x="5461000" y="2597727"/>
          <a:ext cx="415636" cy="92364"/>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0.67232</cdr:x>
      <cdr:y>0.50585</cdr:y>
    </cdr:from>
    <cdr:to>
      <cdr:x>0.75141</cdr:x>
      <cdr:y>0.57331</cdr:y>
    </cdr:to>
    <cdr:sp macro="" textlink="">
      <cdr:nvSpPr>
        <cdr:cNvPr id="41" name="CuadroTexto 40">
          <a:extLst xmlns:a="http://schemas.openxmlformats.org/drawingml/2006/main">
            <a:ext uri="{FF2B5EF4-FFF2-40B4-BE49-F238E27FC236}">
              <a16:creationId xmlns:a16="http://schemas.microsoft.com/office/drawing/2014/main" xmlns="" id="{79BF85C0-3C1A-47AE-9B5F-E8DB159E4FF9}"/>
            </a:ext>
          </a:extLst>
        </cdr:cNvPr>
        <cdr:cNvSpPr txBox="1"/>
      </cdr:nvSpPr>
      <cdr:spPr>
        <a:xfrm xmlns:a="http://schemas.openxmlformats.org/drawingml/2006/main">
          <a:off x="3773175" y="1964553"/>
          <a:ext cx="443852" cy="2620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0">
              <a:latin typeface="Times New Roman" charset="0"/>
              <a:ea typeface="Times New Roman" charset="0"/>
              <a:cs typeface="Times New Roman" charset="0"/>
            </a:rPr>
            <a:t>Japón</a:t>
          </a:r>
        </a:p>
      </cdr:txBody>
    </cdr:sp>
  </cdr:relSizeAnchor>
  <cdr:relSizeAnchor xmlns:cdr="http://schemas.openxmlformats.org/drawingml/2006/chartDrawing">
    <cdr:from>
      <cdr:x>0.71904</cdr:x>
      <cdr:y>0.43853</cdr:y>
    </cdr:from>
    <cdr:to>
      <cdr:x>0.7217</cdr:x>
      <cdr:y>0.50092</cdr:y>
    </cdr:to>
    <cdr:cxnSp macro="">
      <cdr:nvCxnSpPr>
        <cdr:cNvPr id="43" name="Conector recto de flecha 42">
          <a:extLst xmlns:a="http://schemas.openxmlformats.org/drawingml/2006/main">
            <a:ext uri="{FF2B5EF4-FFF2-40B4-BE49-F238E27FC236}">
              <a16:creationId xmlns:a16="http://schemas.microsoft.com/office/drawing/2014/main" xmlns="" id="{49A7B5E5-98C4-4D71-A71E-B56323865C67}"/>
            </a:ext>
          </a:extLst>
        </cdr:cNvPr>
        <cdr:cNvCxnSpPr/>
      </cdr:nvCxnSpPr>
      <cdr:spPr>
        <a:xfrm xmlns:a="http://schemas.openxmlformats.org/drawingml/2006/main" flipH="1" flipV="1">
          <a:off x="6234545" y="2759364"/>
          <a:ext cx="23091" cy="39254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0.65196</cdr:x>
      <cdr:y>0.29983</cdr:y>
    </cdr:from>
    <cdr:to>
      <cdr:x>0.75379</cdr:x>
      <cdr:y>0.3587</cdr:y>
    </cdr:to>
    <cdr:sp macro="" textlink="">
      <cdr:nvSpPr>
        <cdr:cNvPr id="44" name="CuadroTexto 43">
          <a:extLst xmlns:a="http://schemas.openxmlformats.org/drawingml/2006/main">
            <a:ext uri="{FF2B5EF4-FFF2-40B4-BE49-F238E27FC236}">
              <a16:creationId xmlns:a16="http://schemas.microsoft.com/office/drawing/2014/main" xmlns="" id="{83DC4BED-FBC5-4F87-B695-05048E26F44D}"/>
            </a:ext>
          </a:extLst>
        </cdr:cNvPr>
        <cdr:cNvSpPr txBox="1"/>
      </cdr:nvSpPr>
      <cdr:spPr>
        <a:xfrm xmlns:a="http://schemas.openxmlformats.org/drawingml/2006/main">
          <a:off x="3658875" y="1164453"/>
          <a:ext cx="5715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0">
              <a:latin typeface="Times New Roman" charset="0"/>
              <a:ea typeface="Times New Roman" charset="0"/>
              <a:cs typeface="Times New Roman" charset="0"/>
            </a:rPr>
            <a:t>Australia</a:t>
          </a:r>
        </a:p>
      </cdr:txBody>
    </cdr:sp>
  </cdr:relSizeAnchor>
  <cdr:relSizeAnchor xmlns:cdr="http://schemas.openxmlformats.org/drawingml/2006/chartDrawing">
    <cdr:from>
      <cdr:x>0.75366</cdr:x>
      <cdr:y>0.34495</cdr:y>
    </cdr:from>
    <cdr:to>
      <cdr:x>0.80293</cdr:x>
      <cdr:y>0.34495</cdr:y>
    </cdr:to>
    <cdr:cxnSp macro="">
      <cdr:nvCxnSpPr>
        <cdr:cNvPr id="46" name="Conector recto de flecha 45">
          <a:extLst xmlns:a="http://schemas.openxmlformats.org/drawingml/2006/main">
            <a:ext uri="{FF2B5EF4-FFF2-40B4-BE49-F238E27FC236}">
              <a16:creationId xmlns:a16="http://schemas.microsoft.com/office/drawing/2014/main" xmlns="" id="{9069782D-EDDF-434D-95D8-1AF26FFD4A1B}"/>
            </a:ext>
          </a:extLst>
        </cdr:cNvPr>
        <cdr:cNvCxnSpPr/>
      </cdr:nvCxnSpPr>
      <cdr:spPr>
        <a:xfrm xmlns:a="http://schemas.openxmlformats.org/drawingml/2006/main">
          <a:off x="6534727" y="2170545"/>
          <a:ext cx="427182" cy="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0.77556</cdr:x>
      <cdr:y>0.27004</cdr:y>
    </cdr:from>
    <cdr:to>
      <cdr:x>0.85858</cdr:x>
      <cdr:y>0.33642</cdr:y>
    </cdr:to>
    <cdr:sp macro="" textlink="">
      <cdr:nvSpPr>
        <cdr:cNvPr id="47" name="CuadroTexto 46">
          <a:extLst xmlns:a="http://schemas.openxmlformats.org/drawingml/2006/main">
            <a:ext uri="{FF2B5EF4-FFF2-40B4-BE49-F238E27FC236}">
              <a16:creationId xmlns:a16="http://schemas.microsoft.com/office/drawing/2014/main" xmlns="" id="{42B11B79-8823-4C7F-9905-9D1CD277F086}"/>
            </a:ext>
          </a:extLst>
        </cdr:cNvPr>
        <cdr:cNvSpPr txBox="1"/>
      </cdr:nvSpPr>
      <cdr:spPr>
        <a:xfrm xmlns:a="http://schemas.openxmlformats.org/drawingml/2006/main">
          <a:off x="4344675" y="930097"/>
          <a:ext cx="465066"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0">
              <a:latin typeface="Times New Roman" charset="0"/>
              <a:ea typeface="Times New Roman" charset="0"/>
              <a:cs typeface="Times New Roman" charset="0"/>
            </a:rPr>
            <a:t>Canadá</a:t>
          </a:r>
        </a:p>
      </cdr:txBody>
    </cdr:sp>
  </cdr:relSizeAnchor>
  <cdr:relSizeAnchor xmlns:cdr="http://schemas.openxmlformats.org/drawingml/2006/chartDrawing">
    <cdr:from>
      <cdr:x>0.8229</cdr:x>
      <cdr:y>0.29908</cdr:y>
    </cdr:from>
    <cdr:to>
      <cdr:x>0.83356</cdr:x>
      <cdr:y>0.34128</cdr:y>
    </cdr:to>
    <cdr:cxnSp macro="">
      <cdr:nvCxnSpPr>
        <cdr:cNvPr id="49" name="Conector recto de flecha 48">
          <a:extLst xmlns:a="http://schemas.openxmlformats.org/drawingml/2006/main">
            <a:ext uri="{FF2B5EF4-FFF2-40B4-BE49-F238E27FC236}">
              <a16:creationId xmlns:a16="http://schemas.microsoft.com/office/drawing/2014/main" xmlns="" id="{17A68C05-7F0E-40D3-A16E-7076167302DD}"/>
            </a:ext>
          </a:extLst>
        </cdr:cNvPr>
        <cdr:cNvCxnSpPr/>
      </cdr:nvCxnSpPr>
      <cdr:spPr>
        <a:xfrm xmlns:a="http://schemas.openxmlformats.org/drawingml/2006/main">
          <a:off x="7135091" y="1881909"/>
          <a:ext cx="92364" cy="265546"/>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0.86951</cdr:x>
      <cdr:y>0.22202</cdr:y>
    </cdr:from>
    <cdr:to>
      <cdr:x>0.87883</cdr:x>
      <cdr:y>0.31743</cdr:y>
    </cdr:to>
    <cdr:cxnSp macro="">
      <cdr:nvCxnSpPr>
        <cdr:cNvPr id="54" name="Conector recto de flecha 53">
          <a:extLst xmlns:a="http://schemas.openxmlformats.org/drawingml/2006/main">
            <a:ext uri="{FF2B5EF4-FFF2-40B4-BE49-F238E27FC236}">
              <a16:creationId xmlns:a16="http://schemas.microsoft.com/office/drawing/2014/main" xmlns="" id="{EFE367F4-CB27-44CD-8E33-128FF5001F6B}"/>
            </a:ext>
          </a:extLst>
        </cdr:cNvPr>
        <cdr:cNvCxnSpPr/>
      </cdr:nvCxnSpPr>
      <cdr:spPr>
        <a:xfrm xmlns:a="http://schemas.openxmlformats.org/drawingml/2006/main">
          <a:off x="7539182" y="1397000"/>
          <a:ext cx="80818" cy="600364"/>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0.81637</cdr:x>
      <cdr:y>0.17049</cdr:y>
    </cdr:from>
    <cdr:to>
      <cdr:x>0.89518</cdr:x>
      <cdr:y>0.22431</cdr:y>
    </cdr:to>
    <cdr:sp macro="" textlink="">
      <cdr:nvSpPr>
        <cdr:cNvPr id="55" name="CuadroTexto 54">
          <a:extLst xmlns:a="http://schemas.openxmlformats.org/drawingml/2006/main">
            <a:ext uri="{FF2B5EF4-FFF2-40B4-BE49-F238E27FC236}">
              <a16:creationId xmlns:a16="http://schemas.microsoft.com/office/drawing/2014/main" xmlns="" id="{14DB44BE-3470-4663-A3CB-FAB0720FF5AF}"/>
            </a:ext>
          </a:extLst>
        </cdr:cNvPr>
        <cdr:cNvSpPr txBox="1"/>
      </cdr:nvSpPr>
      <cdr:spPr>
        <a:xfrm xmlns:a="http://schemas.openxmlformats.org/drawingml/2006/main">
          <a:off x="4573275" y="587198"/>
          <a:ext cx="441484" cy="1853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0">
              <a:latin typeface="Times New Roman" charset="0"/>
              <a:ea typeface="Times New Roman" charset="0"/>
              <a:cs typeface="Times New Roman" charset="0"/>
            </a:rPr>
            <a:t>Suecia</a:t>
          </a:r>
        </a:p>
      </cdr:txBody>
    </cdr:sp>
  </cdr:relSizeAnchor>
  <cdr:relSizeAnchor xmlns:cdr="http://schemas.openxmlformats.org/drawingml/2006/chartDrawing">
    <cdr:from>
      <cdr:x>0.87599</cdr:x>
      <cdr:y>0.44699</cdr:y>
    </cdr:from>
    <cdr:to>
      <cdr:x>0.99668</cdr:x>
      <cdr:y>0.49103</cdr:y>
    </cdr:to>
    <cdr:sp macro="" textlink="">
      <cdr:nvSpPr>
        <cdr:cNvPr id="56" name="CuadroTexto 55">
          <a:extLst xmlns:a="http://schemas.openxmlformats.org/drawingml/2006/main">
            <a:ext uri="{FF2B5EF4-FFF2-40B4-BE49-F238E27FC236}">
              <a16:creationId xmlns:a16="http://schemas.microsoft.com/office/drawing/2014/main" xmlns="" id="{87D53909-A8D4-4C82-BD1B-B859FD698AE1}"/>
            </a:ext>
          </a:extLst>
        </cdr:cNvPr>
        <cdr:cNvSpPr txBox="1"/>
      </cdr:nvSpPr>
      <cdr:spPr>
        <a:xfrm xmlns:a="http://schemas.openxmlformats.org/drawingml/2006/main">
          <a:off x="4916175" y="1735953"/>
          <a:ext cx="677331" cy="1710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0">
              <a:latin typeface="Times New Roman" charset="0"/>
              <a:ea typeface="Times New Roman" charset="0"/>
              <a:cs typeface="Times New Roman" charset="0"/>
            </a:rPr>
            <a:t>Dinamarca</a:t>
          </a:r>
        </a:p>
      </cdr:txBody>
    </cdr:sp>
  </cdr:relSizeAnchor>
  <cdr:relSizeAnchor xmlns:cdr="http://schemas.openxmlformats.org/drawingml/2006/chartDrawing">
    <cdr:from>
      <cdr:x>0.91878</cdr:x>
      <cdr:y>0.33394</cdr:y>
    </cdr:from>
    <cdr:to>
      <cdr:x>0.9281</cdr:x>
      <cdr:y>0.44954</cdr:y>
    </cdr:to>
    <cdr:cxnSp macro="">
      <cdr:nvCxnSpPr>
        <cdr:cNvPr id="58" name="Conector recto de flecha 57">
          <a:extLst xmlns:a="http://schemas.openxmlformats.org/drawingml/2006/main">
            <a:ext uri="{FF2B5EF4-FFF2-40B4-BE49-F238E27FC236}">
              <a16:creationId xmlns:a16="http://schemas.microsoft.com/office/drawing/2014/main" xmlns="" id="{26F2715B-3A5A-46A7-B4D3-E05E9A477D94}"/>
            </a:ext>
          </a:extLst>
        </cdr:cNvPr>
        <cdr:cNvCxnSpPr/>
      </cdr:nvCxnSpPr>
      <cdr:spPr>
        <a:xfrm xmlns:a="http://schemas.openxmlformats.org/drawingml/2006/main" flipH="1" flipV="1">
          <a:off x="7966364" y="2101273"/>
          <a:ext cx="80818" cy="727363"/>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0.89214</cdr:x>
      <cdr:y>0.20367</cdr:y>
    </cdr:from>
    <cdr:to>
      <cdr:x>1</cdr:x>
      <cdr:y>0.26422</cdr:y>
    </cdr:to>
    <cdr:sp macro="" textlink="">
      <cdr:nvSpPr>
        <cdr:cNvPr id="59" name="CuadroTexto 58">
          <a:extLst xmlns:a="http://schemas.openxmlformats.org/drawingml/2006/main">
            <a:ext uri="{FF2B5EF4-FFF2-40B4-BE49-F238E27FC236}">
              <a16:creationId xmlns:a16="http://schemas.microsoft.com/office/drawing/2014/main" xmlns="" id="{8A3C7FF4-404A-4CFC-A495-C925699ED51A}"/>
            </a:ext>
          </a:extLst>
        </cdr:cNvPr>
        <cdr:cNvSpPr txBox="1"/>
      </cdr:nvSpPr>
      <cdr:spPr>
        <a:xfrm xmlns:a="http://schemas.openxmlformats.org/drawingml/2006/main">
          <a:off x="4997741" y="701497"/>
          <a:ext cx="604229" cy="2085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0">
              <a:latin typeface="Times New Roman" charset="0"/>
              <a:ea typeface="Times New Roman" charset="0"/>
              <a:cs typeface="Times New Roman" charset="0"/>
            </a:rPr>
            <a:t>Alemania</a:t>
          </a:r>
        </a:p>
      </cdr:txBody>
    </cdr:sp>
  </cdr:relSizeAnchor>
  <cdr:relSizeAnchor xmlns:cdr="http://schemas.openxmlformats.org/drawingml/2006/chartDrawing">
    <cdr:from>
      <cdr:x>0.90679</cdr:x>
      <cdr:y>0.26055</cdr:y>
    </cdr:from>
    <cdr:to>
      <cdr:x>0.93609</cdr:x>
      <cdr:y>0.30642</cdr:y>
    </cdr:to>
    <cdr:cxnSp macro="">
      <cdr:nvCxnSpPr>
        <cdr:cNvPr id="61" name="Conector recto de flecha 60">
          <a:extLst xmlns:a="http://schemas.openxmlformats.org/drawingml/2006/main">
            <a:ext uri="{FF2B5EF4-FFF2-40B4-BE49-F238E27FC236}">
              <a16:creationId xmlns:a16="http://schemas.microsoft.com/office/drawing/2014/main" xmlns="" id="{FF973D69-9AD9-4DDF-B284-382E284F1D1A}"/>
            </a:ext>
          </a:extLst>
        </cdr:cNvPr>
        <cdr:cNvCxnSpPr/>
      </cdr:nvCxnSpPr>
      <cdr:spPr>
        <a:xfrm xmlns:a="http://schemas.openxmlformats.org/drawingml/2006/main" flipH="1">
          <a:off x="7862455" y="1639455"/>
          <a:ext cx="254000" cy="288636"/>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0.15266</cdr:x>
      <cdr:y>0.00734</cdr:y>
    </cdr:from>
    <cdr:to>
      <cdr:x>0.89601</cdr:x>
      <cdr:y>0.15791</cdr:y>
    </cdr:to>
    <cdr:sp macro="" textlink="">
      <cdr:nvSpPr>
        <cdr:cNvPr id="3" name="CuadroTexto 2">
          <a:extLst xmlns:a="http://schemas.openxmlformats.org/drawingml/2006/main">
            <a:ext uri="{FF2B5EF4-FFF2-40B4-BE49-F238E27FC236}">
              <a16:creationId xmlns:a16="http://schemas.microsoft.com/office/drawing/2014/main" xmlns="" id="{3BA91E6D-9444-43F4-99A1-5B82ECDACA93}"/>
            </a:ext>
          </a:extLst>
        </cdr:cNvPr>
        <cdr:cNvSpPr txBox="1"/>
      </cdr:nvSpPr>
      <cdr:spPr>
        <a:xfrm xmlns:a="http://schemas.openxmlformats.org/drawingml/2006/main">
          <a:off x="838232" y="25163"/>
          <a:ext cx="4081629" cy="516219"/>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rtl="0"/>
          <a:r>
            <a:rPr lang="en-US" sz="1200" b="1" i="0" baseline="0">
              <a:effectLst/>
              <a:latin typeface="Times New Roman" charset="0"/>
              <a:ea typeface="Times New Roman" charset="0"/>
              <a:cs typeface="Times New Roman" charset="0"/>
            </a:rPr>
            <a:t>Gráfico 5. FBKF en RRNN e Infraestructura, 1990-2016</a:t>
          </a:r>
        </a:p>
        <a:p xmlns:a="http://schemas.openxmlformats.org/drawingml/2006/main">
          <a:pPr algn="ctr" rtl="0"/>
          <a:r>
            <a:rPr lang="en-US" sz="1200" b="0" i="0" baseline="0">
              <a:effectLst/>
              <a:latin typeface="Times New Roman" charset="0"/>
              <a:ea typeface="Times New Roman" charset="0"/>
              <a:cs typeface="Times New Roman" charset="0"/>
            </a:rPr>
            <a:t> (% FBKF total, precios encadenados 2008)</a:t>
          </a:r>
          <a:endParaRPr lang="es-CL" sz="1200" b="0">
            <a:effectLst/>
            <a:latin typeface="Times New Roman" charset="0"/>
            <a:ea typeface="Times New Roman" charset="0"/>
            <a:cs typeface="Times New Roman" charset="0"/>
          </a:endParaRPr>
        </a:p>
        <a:p xmlns:a="http://schemas.openxmlformats.org/drawingml/2006/main">
          <a:endParaRPr lang="es-CL" sz="1100"/>
        </a:p>
      </cdr:txBody>
    </cdr:sp>
  </cdr:relSizeAnchor>
</c:userShapes>
</file>

<file path=word/drawings/drawing3.xml><?xml version="1.0" encoding="utf-8"?>
<c:userShapes xmlns:c="http://schemas.openxmlformats.org/drawingml/2006/chart">
  <cdr:relSizeAnchor xmlns:cdr="http://schemas.openxmlformats.org/drawingml/2006/chartDrawing">
    <cdr:from>
      <cdr:x>0.32032</cdr:x>
      <cdr:y>0.19094</cdr:y>
    </cdr:from>
    <cdr:to>
      <cdr:x>0.57425</cdr:x>
      <cdr:y>0.37821</cdr:y>
    </cdr:to>
    <cdr:sp macro="" textlink="">
      <cdr:nvSpPr>
        <cdr:cNvPr id="3" name="CuadroTexto 2">
          <a:extLst xmlns:a="http://schemas.openxmlformats.org/drawingml/2006/main">
            <a:ext uri="{FF2B5EF4-FFF2-40B4-BE49-F238E27FC236}">
              <a16:creationId xmlns="" xmlns:a16="http://schemas.microsoft.com/office/drawing/2014/main" id="{7CCD937F-54E8-4ADC-95D9-3613CD93D037}"/>
            </a:ext>
          </a:extLst>
        </cdr:cNvPr>
        <cdr:cNvSpPr txBox="1"/>
      </cdr:nvSpPr>
      <cdr:spPr>
        <a:xfrm xmlns:a="http://schemas.openxmlformats.org/drawingml/2006/main">
          <a:off x="1831249" y="699226"/>
          <a:ext cx="1451712" cy="685800"/>
        </a:xfrm>
        <a:prstGeom xmlns:a="http://schemas.openxmlformats.org/drawingml/2006/main" prst="rect">
          <a:avLst/>
        </a:prstGeom>
        <a:ln xmlns:a="http://schemas.openxmlformats.org/drawingml/2006/main">
          <a:noFill/>
        </a:ln>
      </cdr:spPr>
      <cdr:txBody>
        <a:bodyPr xmlns:a="http://schemas.openxmlformats.org/drawingml/2006/main" vertOverflow="clip" wrap="none" rtlCol="0"/>
        <a:lstStyle xmlns:a="http://schemas.openxmlformats.org/drawingml/2006/main"/>
        <a:p xmlns:a="http://schemas.openxmlformats.org/drawingml/2006/main">
          <a:r>
            <a:rPr lang="es-CL" sz="1000" b="0">
              <a:latin typeface="Times New Roman" charset="0"/>
              <a:ea typeface="Times New Roman" charset="0"/>
              <a:cs typeface="Times New Roman" charset="0"/>
            </a:rPr>
            <a:t>Crecimiento anual medio:</a:t>
          </a:r>
        </a:p>
        <a:p xmlns:a="http://schemas.openxmlformats.org/drawingml/2006/main">
          <a:r>
            <a:rPr lang="es-CL" sz="1000" b="0">
              <a:latin typeface="Times New Roman" charset="0"/>
              <a:ea typeface="Times New Roman" charset="0"/>
              <a:cs typeface="Times New Roman" charset="0"/>
            </a:rPr>
            <a:t>1978-1989: 6,2%</a:t>
          </a:r>
        </a:p>
        <a:p xmlns:a="http://schemas.openxmlformats.org/drawingml/2006/main">
          <a:r>
            <a:rPr lang="es-CL" sz="1000" b="0">
              <a:latin typeface="Times New Roman" charset="0"/>
              <a:ea typeface="Times New Roman" charset="0"/>
              <a:cs typeface="Times New Roman" charset="0"/>
            </a:rPr>
            <a:t>1990-2003: 2,8%</a:t>
          </a:r>
        </a:p>
        <a:p xmlns:a="http://schemas.openxmlformats.org/drawingml/2006/main">
          <a:r>
            <a:rPr lang="es-CL" sz="1000" b="0">
              <a:latin typeface="Times New Roman" charset="0"/>
              <a:ea typeface="Times New Roman" charset="0"/>
              <a:cs typeface="Times New Roman" charset="0"/>
            </a:rPr>
            <a:t>2004-2016: 1,3%</a:t>
          </a:r>
        </a:p>
      </cdr:txBody>
    </cdr:sp>
  </cdr:relSizeAnchor>
  <cdr:relSizeAnchor xmlns:cdr="http://schemas.openxmlformats.org/drawingml/2006/chartDrawing">
    <cdr:from>
      <cdr:x>0.06041</cdr:x>
      <cdr:y>0.37821</cdr:y>
    </cdr:from>
    <cdr:to>
      <cdr:x>0.2715</cdr:x>
      <cdr:y>0.49956</cdr:y>
    </cdr:to>
    <cdr:sp macro="" textlink="">
      <cdr:nvSpPr>
        <cdr:cNvPr id="4" name="CuadroTexto 3">
          <a:extLst xmlns:a="http://schemas.openxmlformats.org/drawingml/2006/main">
            <a:ext uri="{FF2B5EF4-FFF2-40B4-BE49-F238E27FC236}">
              <a16:creationId xmlns="" xmlns:a16="http://schemas.microsoft.com/office/drawing/2014/main" id="{67DEEB00-F6A0-44CD-9763-4F7FCD4B5362}"/>
            </a:ext>
          </a:extLst>
        </cdr:cNvPr>
        <cdr:cNvSpPr txBox="1"/>
      </cdr:nvSpPr>
      <cdr:spPr>
        <a:xfrm xmlns:a="http://schemas.openxmlformats.org/drawingml/2006/main">
          <a:off x="345349" y="1385026"/>
          <a:ext cx="1206810" cy="4444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1">
              <a:solidFill>
                <a:sysClr val="windowText" lastClr="000000"/>
              </a:solidFill>
              <a:latin typeface="Times New Roman" charset="0"/>
              <a:ea typeface="Times New Roman" charset="0"/>
              <a:cs typeface="Times New Roman" charset="0"/>
            </a:rPr>
            <a:t>Media móvil crec.. </a:t>
          </a:r>
        </a:p>
        <a:p xmlns:a="http://schemas.openxmlformats.org/drawingml/2006/main">
          <a:r>
            <a:rPr lang="es-CL" sz="900" b="1">
              <a:solidFill>
                <a:sysClr val="windowText" lastClr="000000"/>
              </a:solidFill>
              <a:latin typeface="Times New Roman" charset="0"/>
              <a:ea typeface="Times New Roman" charset="0"/>
              <a:cs typeface="Times New Roman" charset="0"/>
            </a:rPr>
            <a:t>anual c/5 años</a:t>
          </a:r>
        </a:p>
      </cdr:txBody>
    </cdr:sp>
  </cdr:relSizeAnchor>
  <cdr:relSizeAnchor xmlns:cdr="http://schemas.openxmlformats.org/drawingml/2006/chartDrawing">
    <cdr:from>
      <cdr:x>0.14038</cdr:x>
      <cdr:y>0.31579</cdr:y>
    </cdr:from>
    <cdr:to>
      <cdr:x>0.22427</cdr:x>
      <cdr:y>0.37083</cdr:y>
    </cdr:to>
    <cdr:cxnSp macro="">
      <cdr:nvCxnSpPr>
        <cdr:cNvPr id="6" name="Conector recto de flecha 5">
          <a:extLst xmlns:a="http://schemas.openxmlformats.org/drawingml/2006/main">
            <a:ext uri="{FF2B5EF4-FFF2-40B4-BE49-F238E27FC236}">
              <a16:creationId xmlns="" xmlns:a16="http://schemas.microsoft.com/office/drawing/2014/main" id="{55A3E6C2-5587-4B64-89CF-7FE6A4AD2259}"/>
            </a:ext>
          </a:extLst>
        </cdr:cNvPr>
        <cdr:cNvCxnSpPr/>
      </cdr:nvCxnSpPr>
      <cdr:spPr>
        <a:xfrm xmlns:a="http://schemas.openxmlformats.org/drawingml/2006/main" flipV="1">
          <a:off x="802549" y="1156426"/>
          <a:ext cx="479591" cy="201559"/>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0.06041</cdr:x>
      <cdr:y>0.50306</cdr:y>
    </cdr:from>
    <cdr:to>
      <cdr:x>0.2971</cdr:x>
      <cdr:y>0.61801</cdr:y>
    </cdr:to>
    <cdr:sp macro="" textlink="">
      <cdr:nvSpPr>
        <cdr:cNvPr id="7" name="CuadroTexto 6">
          <a:extLst xmlns:a="http://schemas.openxmlformats.org/drawingml/2006/main">
            <a:ext uri="{FF2B5EF4-FFF2-40B4-BE49-F238E27FC236}">
              <a16:creationId xmlns="" xmlns:a16="http://schemas.microsoft.com/office/drawing/2014/main" id="{C6E2FA3C-C48B-473F-8D75-D6D4C204AB58}"/>
            </a:ext>
          </a:extLst>
        </cdr:cNvPr>
        <cdr:cNvSpPr txBox="1"/>
      </cdr:nvSpPr>
      <cdr:spPr>
        <a:xfrm xmlns:a="http://schemas.openxmlformats.org/drawingml/2006/main">
          <a:off x="345349" y="1842226"/>
          <a:ext cx="1353164" cy="42093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900" b="1">
              <a:solidFill>
                <a:sysClr val="windowText" lastClr="000000"/>
              </a:solidFill>
              <a:latin typeface="Times New Roman" charset="0"/>
              <a:ea typeface="Times New Roman" charset="0"/>
              <a:cs typeface="Times New Roman" charset="0"/>
            </a:rPr>
            <a:t>Stock plantaciones</a:t>
          </a:r>
        </a:p>
        <a:p xmlns:a="http://schemas.openxmlformats.org/drawingml/2006/main">
          <a:r>
            <a:rPr lang="es-CL" sz="900" b="1">
              <a:solidFill>
                <a:sysClr val="windowText" lastClr="000000"/>
              </a:solidFill>
              <a:latin typeface="Times New Roman" charset="0"/>
              <a:ea typeface="Times New Roman" charset="0"/>
              <a:cs typeface="Times New Roman" charset="0"/>
            </a:rPr>
            <a:t>forestales</a:t>
          </a:r>
        </a:p>
      </cdr:txBody>
    </cdr:sp>
  </cdr:relSizeAnchor>
  <cdr:relSizeAnchor xmlns:cdr="http://schemas.openxmlformats.org/drawingml/2006/chartDrawing">
    <cdr:from>
      <cdr:x>0.12039</cdr:x>
      <cdr:y>0.5967</cdr:y>
    </cdr:from>
    <cdr:to>
      <cdr:x>0.12838</cdr:x>
      <cdr:y>0.66643</cdr:y>
    </cdr:to>
    <cdr:cxnSp macro="">
      <cdr:nvCxnSpPr>
        <cdr:cNvPr id="9" name="Conector recto de flecha 8">
          <a:extLst xmlns:a="http://schemas.openxmlformats.org/drawingml/2006/main">
            <a:ext uri="{FF2B5EF4-FFF2-40B4-BE49-F238E27FC236}">
              <a16:creationId xmlns="" xmlns:a16="http://schemas.microsoft.com/office/drawing/2014/main" id="{EEB3CF5C-B44C-4088-8EB9-DA4880FEBF86}"/>
            </a:ext>
          </a:extLst>
        </cdr:cNvPr>
        <cdr:cNvCxnSpPr/>
      </cdr:nvCxnSpPr>
      <cdr:spPr>
        <a:xfrm xmlns:a="http://schemas.openxmlformats.org/drawingml/2006/main">
          <a:off x="688249" y="2185126"/>
          <a:ext cx="45678" cy="25535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0.41411</cdr:x>
      <cdr:y>0.20042</cdr:y>
    </cdr:from>
    <cdr:to>
      <cdr:x>0.69269</cdr:x>
      <cdr:y>0.26239</cdr:y>
    </cdr:to>
    <cdr:sp macro="" textlink="">
      <cdr:nvSpPr>
        <cdr:cNvPr id="2" name="CuadroTexto 1">
          <a:extLst xmlns:a="http://schemas.openxmlformats.org/drawingml/2006/main">
            <a:ext uri="{FF2B5EF4-FFF2-40B4-BE49-F238E27FC236}">
              <a16:creationId xmlns:a16="http://schemas.microsoft.com/office/drawing/2014/main" xmlns="" id="{A47A841A-19AE-45E1-B344-E1927B2B936E}"/>
            </a:ext>
          </a:extLst>
        </cdr:cNvPr>
        <cdr:cNvSpPr txBox="1"/>
      </cdr:nvSpPr>
      <cdr:spPr>
        <a:xfrm xmlns:a="http://schemas.openxmlformats.org/drawingml/2006/main">
          <a:off x="2324039" y="815797"/>
          <a:ext cx="1563436" cy="2522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1000" b="0">
              <a:latin typeface="Times New Roman" charset="0"/>
              <a:ea typeface="Times New Roman" charset="0"/>
              <a:cs typeface="Times New Roman" charset="0"/>
            </a:rPr>
            <a:t>Media móvil cada 5 años</a:t>
          </a:r>
        </a:p>
      </cdr:txBody>
    </cdr:sp>
  </cdr:relSizeAnchor>
  <cdr:relSizeAnchor xmlns:cdr="http://schemas.openxmlformats.org/drawingml/2006/chartDrawing">
    <cdr:from>
      <cdr:x>0.40346</cdr:x>
      <cdr:y>0.26239</cdr:y>
    </cdr:from>
    <cdr:to>
      <cdr:x>0.5534</cdr:x>
      <cdr:y>0.3578</cdr:y>
    </cdr:to>
    <cdr:cxnSp macro="">
      <cdr:nvCxnSpPr>
        <cdr:cNvPr id="4" name="Conector recto de flecha 3">
          <a:extLst xmlns:a="http://schemas.openxmlformats.org/drawingml/2006/main">
            <a:ext uri="{FF2B5EF4-FFF2-40B4-BE49-F238E27FC236}">
              <a16:creationId xmlns:a16="http://schemas.microsoft.com/office/drawing/2014/main" xmlns="" id="{DFCC308B-FFDF-4F28-A61E-B2BD5F1E2913}"/>
            </a:ext>
          </a:extLst>
        </cdr:cNvPr>
        <cdr:cNvCxnSpPr>
          <a:stCxn xmlns:a="http://schemas.openxmlformats.org/drawingml/2006/main" id="2" idx="2"/>
        </cdr:cNvCxnSpPr>
      </cdr:nvCxnSpPr>
      <cdr:spPr>
        <a:xfrm xmlns:a="http://schemas.openxmlformats.org/drawingml/2006/main" flipH="1">
          <a:off x="2264271" y="1068019"/>
          <a:ext cx="841486" cy="388352"/>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0.00907</cdr:x>
      <cdr:y>0.01341</cdr:y>
    </cdr:from>
    <cdr:to>
      <cdr:x>0.36046</cdr:x>
      <cdr:y>0.1945</cdr:y>
    </cdr:to>
    <cdr:sp macro="" textlink="">
      <cdr:nvSpPr>
        <cdr:cNvPr id="5" name="Text Box 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id="{00000000-0008-0000-0B00-000004000000}"/>
            </a:ext>
          </a:extLst>
        </cdr:cNvPr>
        <cdr:cNvSpPr txBox="1"/>
      </cdr:nvSpPr>
      <cdr:spPr>
        <a:xfrm xmlns:a="http://schemas.openxmlformats.org/drawingml/2006/main">
          <a:off x="50800" y="50800"/>
          <a:ext cx="1968500" cy="6858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sp>
  </cdr:relSizeAnchor>
  <cdr:relSizeAnchor xmlns:cdr="http://schemas.openxmlformats.org/drawingml/2006/chartDrawing">
    <cdr:from>
      <cdr:x>0.69395</cdr:x>
      <cdr:y>0.24559</cdr:y>
    </cdr:from>
    <cdr:to>
      <cdr:x>0.95919</cdr:x>
      <cdr:y>0.42668</cdr:y>
    </cdr:to>
    <cdr:sp macro="" textlink="">
      <cdr:nvSpPr>
        <cdr:cNvPr id="7" name="Text Box 6"/>
        <cdr:cNvSpPr txBox="1"/>
      </cdr:nvSpPr>
      <cdr:spPr>
        <a:xfrm xmlns:a="http://schemas.openxmlformats.org/drawingml/2006/main">
          <a:off x="3887475" y="930097"/>
          <a:ext cx="1485895" cy="685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900"/>
            <a:t>Crecimiento anual medio:</a:t>
          </a:r>
        </a:p>
        <a:p xmlns:a="http://schemas.openxmlformats.org/drawingml/2006/main">
          <a:pPr algn="l"/>
          <a:r>
            <a:rPr lang="en-US" sz="900">
              <a:solidFill>
                <a:sysClr val="windowText" lastClr="000000"/>
              </a:solidFill>
            </a:rPr>
            <a:t>1990-1994: +3,8%</a:t>
          </a:r>
        </a:p>
        <a:p xmlns:a="http://schemas.openxmlformats.org/drawingml/2006/main">
          <a:pPr algn="l"/>
          <a:r>
            <a:rPr lang="en-US" sz="900">
              <a:solidFill>
                <a:sysClr val="windowText" lastClr="000000"/>
              </a:solidFill>
            </a:rPr>
            <a:t>1995-2003: -8,3%</a:t>
          </a:r>
        </a:p>
        <a:p xmlns:a="http://schemas.openxmlformats.org/drawingml/2006/main">
          <a:pPr algn="l"/>
          <a:r>
            <a:rPr lang="en-US" sz="900">
              <a:solidFill>
                <a:sysClr val="windowText" lastClr="000000"/>
              </a:solidFill>
            </a:rPr>
            <a:t>2004-2016: - 6,6%</a:t>
          </a:r>
        </a:p>
      </cdr:txBody>
    </cdr:sp>
  </cdr:relSizeAnchor>
</c:userShapes>
</file>

<file path=word/drawings/drawing5.xml><?xml version="1.0" encoding="utf-8"?>
<c:userShapes xmlns:c="http://schemas.openxmlformats.org/drawingml/2006/chart">
  <cdr:relSizeAnchor xmlns:cdr="http://schemas.openxmlformats.org/drawingml/2006/chartDrawing">
    <cdr:from>
      <cdr:x>0.42208</cdr:x>
      <cdr:y>0.17959</cdr:y>
    </cdr:from>
    <cdr:to>
      <cdr:x>0.82883</cdr:x>
      <cdr:y>0.38472</cdr:y>
    </cdr:to>
    <cdr:sp macro="" textlink="">
      <cdr:nvSpPr>
        <cdr:cNvPr id="2" name="CuadroTexto 1">
          <a:extLst xmlns:a="http://schemas.openxmlformats.org/drawingml/2006/main">
            <a:ext uri="{FF2B5EF4-FFF2-40B4-BE49-F238E27FC236}">
              <a16:creationId xmlns:a16="http://schemas.microsoft.com/office/drawing/2014/main" xmlns="" id="{32D27EE2-E5F3-4BC9-AF68-4A5B87FE6A05}"/>
            </a:ext>
          </a:extLst>
        </cdr:cNvPr>
        <cdr:cNvSpPr txBox="1"/>
      </cdr:nvSpPr>
      <cdr:spPr>
        <a:xfrm xmlns:a="http://schemas.openxmlformats.org/drawingml/2006/main">
          <a:off x="2253508" y="600417"/>
          <a:ext cx="2171700" cy="685800"/>
        </a:xfrm>
        <a:prstGeom xmlns:a="http://schemas.openxmlformats.org/drawingml/2006/main" prst="rect">
          <a:avLst/>
        </a:prstGeom>
        <a:ln xmlns:a="http://schemas.openxmlformats.org/drawingml/2006/main" w="25400">
          <a:noFill/>
        </a:ln>
      </cdr:spPr>
      <cdr:txBody>
        <a:bodyPr xmlns:a="http://schemas.openxmlformats.org/drawingml/2006/main" vertOverflow="clip" wrap="none" rtlCol="0"/>
        <a:lstStyle xmlns:a="http://schemas.openxmlformats.org/drawingml/2006/main"/>
        <a:p xmlns:a="http://schemas.openxmlformats.org/drawingml/2006/main">
          <a:r>
            <a:rPr lang="es-CL" sz="1000" b="0">
              <a:effectLst/>
              <a:latin typeface="Times New Roman" charset="0"/>
              <a:ea typeface="Times New Roman" charset="0"/>
              <a:cs typeface="Times New Roman" charset="0"/>
            </a:rPr>
            <a:t>                      C</a:t>
          </a:r>
          <a:r>
            <a:rPr lang="es-CL" sz="1000" b="0" baseline="0">
              <a:effectLst/>
              <a:latin typeface="Times New Roman" charset="0"/>
              <a:ea typeface="Times New Roman" charset="0"/>
              <a:cs typeface="Times New Roman" charset="0"/>
            </a:rPr>
            <a:t>recimiento</a:t>
          </a:r>
          <a:r>
            <a:rPr lang="es-CL" sz="1000" b="0">
              <a:effectLst/>
              <a:latin typeface="Times New Roman" charset="0"/>
              <a:ea typeface="Times New Roman" charset="0"/>
              <a:cs typeface="Times New Roman" charset="0"/>
            </a:rPr>
            <a:t> anual medio        </a:t>
          </a:r>
        </a:p>
        <a:p xmlns:a="http://schemas.openxmlformats.org/drawingml/2006/main">
          <a:r>
            <a:rPr lang="es-CL" sz="1000" b="0">
              <a:effectLst/>
              <a:latin typeface="Times New Roman" charset="0"/>
              <a:ea typeface="Times New Roman" charset="0"/>
              <a:cs typeface="Times New Roman" charset="0"/>
            </a:rPr>
            <a:t>                      1990-2003      2004-2016</a:t>
          </a:r>
        </a:p>
        <a:p xmlns:a="http://schemas.openxmlformats.org/drawingml/2006/main">
          <a:r>
            <a:rPr lang="es-CL" sz="1000" b="0">
              <a:solidFill>
                <a:sysClr val="windowText" lastClr="000000"/>
              </a:solidFill>
              <a:effectLst/>
              <a:latin typeface="Times New Roman" charset="0"/>
              <a:ea typeface="Times New Roman" charset="0"/>
              <a:cs typeface="Times New Roman" charset="0"/>
            </a:rPr>
            <a:t>Chile    </a:t>
          </a:r>
          <a:r>
            <a:rPr lang="es-CL" sz="1000" b="0">
              <a:solidFill>
                <a:srgbClr val="FF0000"/>
              </a:solidFill>
              <a:effectLst/>
              <a:latin typeface="Times New Roman" charset="0"/>
              <a:ea typeface="Times New Roman" charset="0"/>
              <a:cs typeface="Times New Roman" charset="0"/>
            </a:rPr>
            <a:t>              </a:t>
          </a:r>
          <a:r>
            <a:rPr lang="es-CL" sz="1000" b="0">
              <a:solidFill>
                <a:sysClr val="windowText" lastClr="000000"/>
              </a:solidFill>
              <a:effectLst/>
              <a:latin typeface="Times New Roman" charset="0"/>
              <a:ea typeface="Times New Roman" charset="0"/>
              <a:cs typeface="Times New Roman" charset="0"/>
            </a:rPr>
            <a:t>30,6</a:t>
          </a:r>
          <a:r>
            <a:rPr lang="es-CL" sz="1000" b="0" baseline="0">
              <a:solidFill>
                <a:sysClr val="windowText" lastClr="000000"/>
              </a:solidFill>
              <a:effectLst/>
              <a:latin typeface="Times New Roman" charset="0"/>
              <a:ea typeface="Times New Roman" charset="0"/>
              <a:cs typeface="Times New Roman" charset="0"/>
            </a:rPr>
            <a:t>%</a:t>
          </a:r>
          <a:r>
            <a:rPr lang="es-CL" sz="1000" b="0">
              <a:solidFill>
                <a:sysClr val="windowText" lastClr="000000"/>
              </a:solidFill>
              <a:effectLst/>
              <a:latin typeface="Times New Roman" charset="0"/>
              <a:ea typeface="Times New Roman" charset="0"/>
              <a:cs typeface="Times New Roman" charset="0"/>
            </a:rPr>
            <a:t>             </a:t>
          </a:r>
          <a:r>
            <a:rPr lang="es-CL" sz="1000" b="0">
              <a:effectLst/>
              <a:latin typeface="Times New Roman" charset="0"/>
              <a:ea typeface="Times New Roman" charset="0"/>
              <a:cs typeface="Times New Roman" charset="0"/>
            </a:rPr>
            <a:t>3,1%</a:t>
          </a:r>
        </a:p>
        <a:p xmlns:a="http://schemas.openxmlformats.org/drawingml/2006/main">
          <a:r>
            <a:rPr lang="es-CL" sz="1000" b="0">
              <a:effectLst/>
              <a:latin typeface="Times New Roman" charset="0"/>
              <a:ea typeface="Times New Roman" charset="0"/>
              <a:cs typeface="Times New Roman" charset="0"/>
            </a:rPr>
            <a:t>Noruega</a:t>
          </a:r>
          <a:r>
            <a:rPr lang="es-CL" sz="1000" b="0" baseline="0">
              <a:effectLst/>
              <a:latin typeface="Times New Roman" charset="0"/>
              <a:ea typeface="Times New Roman" charset="0"/>
              <a:cs typeface="Times New Roman" charset="0"/>
            </a:rPr>
            <a:t>             11,8%             6,9%</a:t>
          </a:r>
          <a:endParaRPr lang="es-CL" sz="1000" b="0">
            <a:latin typeface="Times New Roman" charset="0"/>
            <a:ea typeface="Times New Roman" charset="0"/>
            <a:cs typeface="Times New Roman" charset="0"/>
          </a:endParaRPr>
        </a:p>
      </cdr:txBody>
    </cdr:sp>
  </cdr:relSizeAnchor>
  <cdr:relSizeAnchor xmlns:cdr="http://schemas.openxmlformats.org/drawingml/2006/chartDrawing">
    <cdr:from>
      <cdr:x>0.07955</cdr:x>
      <cdr:y>0.52147</cdr:y>
    </cdr:from>
    <cdr:to>
      <cdr:x>0.33645</cdr:x>
      <cdr:y>0.65822</cdr:y>
    </cdr:to>
    <cdr:sp macro="" textlink="">
      <cdr:nvSpPr>
        <cdr:cNvPr id="4" name="CuadroTexto 3">
          <a:extLst xmlns:a="http://schemas.openxmlformats.org/drawingml/2006/main">
            <a:ext uri="{FF2B5EF4-FFF2-40B4-BE49-F238E27FC236}">
              <a16:creationId xmlns:a16="http://schemas.microsoft.com/office/drawing/2014/main" xmlns="" id="{85B109C7-AD7D-45B5-8C30-6836478C4E7C}"/>
            </a:ext>
          </a:extLst>
        </cdr:cNvPr>
        <cdr:cNvSpPr txBox="1"/>
      </cdr:nvSpPr>
      <cdr:spPr>
        <a:xfrm xmlns:a="http://schemas.openxmlformats.org/drawingml/2006/main">
          <a:off x="424708" y="1743417"/>
          <a:ext cx="1371600"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1000" b="0">
              <a:latin typeface="Times New Roman" charset="0"/>
              <a:ea typeface="Times New Roman" charset="0"/>
              <a:cs typeface="Times New Roman" charset="0"/>
            </a:rPr>
            <a:t>Tasa</a:t>
          </a:r>
          <a:r>
            <a:rPr lang="es-CL" sz="1000" b="0" baseline="0">
              <a:latin typeface="Times New Roman" charset="0"/>
              <a:ea typeface="Times New Roman" charset="0"/>
              <a:cs typeface="Times New Roman" charset="0"/>
            </a:rPr>
            <a:t> crecimiento </a:t>
          </a:r>
        </a:p>
        <a:p xmlns:a="http://schemas.openxmlformats.org/drawingml/2006/main">
          <a:r>
            <a:rPr lang="es-CL" sz="1000" b="0" baseline="0">
              <a:latin typeface="Times New Roman" charset="0"/>
              <a:ea typeface="Times New Roman" charset="0"/>
              <a:cs typeface="Times New Roman" charset="0"/>
            </a:rPr>
            <a:t>anual media c/10 años</a:t>
          </a:r>
          <a:endParaRPr lang="es-CL" sz="1000" b="0">
            <a:latin typeface="Times New Roman" charset="0"/>
            <a:ea typeface="Times New Roman" charset="0"/>
            <a:cs typeface="Times New Roman" charset="0"/>
          </a:endParaRPr>
        </a:p>
      </cdr:txBody>
    </cdr:sp>
  </cdr:relSizeAnchor>
  <cdr:relSizeAnchor xmlns:cdr="http://schemas.openxmlformats.org/drawingml/2006/chartDrawing">
    <cdr:from>
      <cdr:x>0.208</cdr:x>
      <cdr:y>0.40342</cdr:y>
    </cdr:from>
    <cdr:to>
      <cdr:x>0.23977</cdr:x>
      <cdr:y>0.52147</cdr:y>
    </cdr:to>
    <cdr:cxnSp macro="">
      <cdr:nvCxnSpPr>
        <cdr:cNvPr id="6" name="Conector recto de flecha 5">
          <a:extLst xmlns:a="http://schemas.openxmlformats.org/drawingml/2006/main">
            <a:ext uri="{FF2B5EF4-FFF2-40B4-BE49-F238E27FC236}">
              <a16:creationId xmlns:a16="http://schemas.microsoft.com/office/drawing/2014/main" xmlns="" id="{9637E911-86DF-4C18-9A01-F381A491E914}"/>
            </a:ext>
          </a:extLst>
        </cdr:cNvPr>
        <cdr:cNvCxnSpPr>
          <a:stCxn xmlns:a="http://schemas.openxmlformats.org/drawingml/2006/main" id="4" idx="0"/>
        </cdr:cNvCxnSpPr>
      </cdr:nvCxnSpPr>
      <cdr:spPr>
        <a:xfrm xmlns:a="http://schemas.openxmlformats.org/drawingml/2006/main" flipV="1">
          <a:off x="1110529" y="1348740"/>
          <a:ext cx="169631" cy="394678"/>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0.14913</cdr:x>
      <cdr:y>0.46605</cdr:y>
    </cdr:from>
    <cdr:to>
      <cdr:x>0.23702</cdr:x>
      <cdr:y>0.90275</cdr:y>
    </cdr:to>
    <cdr:sp macro="" textlink="">
      <cdr:nvSpPr>
        <cdr:cNvPr id="2" name="Elipse 1">
          <a:extLst xmlns:a="http://schemas.openxmlformats.org/drawingml/2006/main">
            <a:ext uri="{FF2B5EF4-FFF2-40B4-BE49-F238E27FC236}">
              <a16:creationId xmlns="" xmlns:a16="http://schemas.microsoft.com/office/drawing/2014/main" id="{EC236349-BED8-479D-B920-AF4CFE3EC12F}"/>
            </a:ext>
          </a:extLst>
        </cdr:cNvPr>
        <cdr:cNvSpPr/>
      </cdr:nvSpPr>
      <cdr:spPr>
        <a:xfrm xmlns:a="http://schemas.openxmlformats.org/drawingml/2006/main">
          <a:off x="1293091" y="2932545"/>
          <a:ext cx="762000" cy="2747819"/>
        </a:xfrm>
        <a:prstGeom xmlns:a="http://schemas.openxmlformats.org/drawingml/2006/main" prst="ellipse">
          <a:avLst/>
        </a:prstGeom>
        <a:noFill xmlns:a="http://schemas.openxmlformats.org/drawingml/2006/main"/>
        <a:ln xmlns:a="http://schemas.openxmlformats.org/drawingml/2006/main">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CL"/>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ABCEA-A7CC-452F-A11B-1D892C62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11319</Words>
  <Characters>62259</Characters>
  <Application>Microsoft Office Word</Application>
  <DocSecurity>0</DocSecurity>
  <Lines>518</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Daniela Valda</cp:lastModifiedBy>
  <cp:revision>2</cp:revision>
  <cp:lastPrinted>2019-04-03T18:42:00Z</cp:lastPrinted>
  <dcterms:created xsi:type="dcterms:W3CDTF">2019-04-09T18:21:00Z</dcterms:created>
  <dcterms:modified xsi:type="dcterms:W3CDTF">2019-04-09T18:21:00Z</dcterms:modified>
</cp:coreProperties>
</file>