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2993D" w14:textId="379DBDD7" w:rsidR="007617A6" w:rsidRPr="008C4EFB" w:rsidRDefault="00B02D2C" w:rsidP="00A05B53">
      <w:pPr>
        <w:rPr>
          <w:sz w:val="32"/>
          <w:szCs w:val="32"/>
          <w:lang w:val="es-CL"/>
        </w:rPr>
      </w:pPr>
      <w:r>
        <w:rPr>
          <w:sz w:val="32"/>
          <w:szCs w:val="32"/>
          <w:lang w:val="es-CL"/>
        </w:rPr>
        <w:t>20</w:t>
      </w:r>
      <w:r w:rsidR="00A05B53" w:rsidRPr="008C4EFB">
        <w:rPr>
          <w:sz w:val="32"/>
          <w:szCs w:val="32"/>
          <w:lang w:val="es-CL"/>
        </w:rPr>
        <w:t>/</w:t>
      </w:r>
      <w:r w:rsidR="009A4E2E">
        <w:rPr>
          <w:sz w:val="32"/>
          <w:szCs w:val="32"/>
          <w:lang w:val="es-CL"/>
        </w:rPr>
        <w:t>0</w:t>
      </w:r>
      <w:r w:rsidR="0061551C">
        <w:rPr>
          <w:sz w:val="32"/>
          <w:szCs w:val="32"/>
          <w:lang w:val="es-CL"/>
        </w:rPr>
        <w:t>6</w:t>
      </w:r>
      <w:r w:rsidR="00D33842" w:rsidRPr="008C4EFB">
        <w:rPr>
          <w:sz w:val="32"/>
          <w:szCs w:val="32"/>
          <w:lang w:val="es-CL"/>
        </w:rPr>
        <w:t>/</w:t>
      </w:r>
      <w:r w:rsidR="00A05B53" w:rsidRPr="008C4EFB">
        <w:rPr>
          <w:sz w:val="32"/>
          <w:szCs w:val="32"/>
          <w:lang w:val="es-CL"/>
        </w:rPr>
        <w:t>1</w:t>
      </w:r>
      <w:r w:rsidR="0061551C">
        <w:rPr>
          <w:sz w:val="32"/>
          <w:szCs w:val="32"/>
          <w:lang w:val="es-CL"/>
        </w:rPr>
        <w:t>7</w:t>
      </w:r>
      <w:r w:rsidR="00C84F6F" w:rsidRPr="008C4EFB">
        <w:rPr>
          <w:sz w:val="32"/>
          <w:szCs w:val="32"/>
          <w:lang w:val="es-CL"/>
        </w:rPr>
        <w:t>(</w:t>
      </w:r>
      <w:r w:rsidR="0082186A" w:rsidRPr="008C4EFB">
        <w:rPr>
          <w:sz w:val="32"/>
          <w:szCs w:val="32"/>
          <w:lang w:val="es-CL"/>
        </w:rPr>
        <w:t>1</w:t>
      </w:r>
      <w:r w:rsidR="00761BA4" w:rsidRPr="008C4EFB">
        <w:rPr>
          <w:sz w:val="32"/>
          <w:szCs w:val="32"/>
          <w:lang w:val="es-CL"/>
        </w:rPr>
        <w:t>2.</w:t>
      </w:r>
      <w:r w:rsidR="00973704">
        <w:rPr>
          <w:sz w:val="32"/>
          <w:szCs w:val="32"/>
          <w:lang w:val="es-CL"/>
        </w:rPr>
        <w:t>7</w:t>
      </w:r>
      <w:r>
        <w:rPr>
          <w:sz w:val="32"/>
          <w:szCs w:val="32"/>
          <w:lang w:val="es-CL"/>
        </w:rPr>
        <w:t>7</w:t>
      </w:r>
      <w:r w:rsidR="00071CFD">
        <w:rPr>
          <w:sz w:val="32"/>
          <w:szCs w:val="32"/>
          <w:lang w:val="es-CL"/>
        </w:rPr>
        <w:t>4</w:t>
      </w:r>
      <w:r w:rsidR="0082186A" w:rsidRPr="008C4EFB">
        <w:rPr>
          <w:sz w:val="32"/>
          <w:szCs w:val="32"/>
          <w:lang w:val="es-CL"/>
        </w:rPr>
        <w:t>p</w:t>
      </w:r>
      <w:r w:rsidR="005C4586" w:rsidRPr="008C4EFB">
        <w:rPr>
          <w:sz w:val="32"/>
          <w:szCs w:val="32"/>
          <w:lang w:val="es-CL"/>
        </w:rPr>
        <w:t>)</w:t>
      </w:r>
    </w:p>
    <w:p w14:paraId="10D8C4E0" w14:textId="08118438" w:rsidR="008C1969" w:rsidRPr="00D068A6" w:rsidRDefault="00496075" w:rsidP="00A05B53">
      <w:pPr>
        <w:jc w:val="center"/>
        <w:rPr>
          <w:sz w:val="32"/>
          <w:szCs w:val="32"/>
          <w:lang w:val="es-PE"/>
        </w:rPr>
      </w:pPr>
      <w:r w:rsidRPr="00D068A6">
        <w:rPr>
          <w:sz w:val="32"/>
          <w:szCs w:val="32"/>
          <w:lang w:val="es-PE"/>
        </w:rPr>
        <w:t>DESAFÍOS DE LA ECONOMÍA CHILENA ANTE LOS SHOCKS PRO-CÍCLICOS</w:t>
      </w:r>
      <w:r w:rsidR="00557571" w:rsidRPr="00D068A6">
        <w:rPr>
          <w:sz w:val="32"/>
          <w:szCs w:val="32"/>
          <w:lang w:val="es-PE"/>
        </w:rPr>
        <w:t>,</w:t>
      </w:r>
      <w:r w:rsidR="00A75913" w:rsidRPr="00D068A6">
        <w:rPr>
          <w:sz w:val="32"/>
          <w:szCs w:val="32"/>
          <w:lang w:val="es-PE"/>
        </w:rPr>
        <w:t xml:space="preserve"> </w:t>
      </w:r>
      <w:r w:rsidR="00A05B53" w:rsidRPr="00D068A6">
        <w:rPr>
          <w:sz w:val="32"/>
          <w:szCs w:val="32"/>
          <w:lang w:val="es-PE"/>
        </w:rPr>
        <w:t>1999-2016</w:t>
      </w:r>
      <w:r w:rsidR="00E20434" w:rsidRPr="00D068A6">
        <w:rPr>
          <w:rStyle w:val="Refdenotaalpie"/>
          <w:sz w:val="32"/>
          <w:szCs w:val="32"/>
          <w:lang w:val="es-PE"/>
        </w:rPr>
        <w:footnoteReference w:customMarkFollows="1" w:id="1"/>
        <w:t>*</w:t>
      </w:r>
    </w:p>
    <w:p w14:paraId="6705733B" w14:textId="31D00BE7" w:rsidR="00A05B53" w:rsidRDefault="0053226B" w:rsidP="00D80A4D">
      <w:pPr>
        <w:ind w:left="4956"/>
        <w:outlineLvl w:val="0"/>
        <w:rPr>
          <w:sz w:val="32"/>
          <w:szCs w:val="32"/>
          <w:lang w:val="es-PE"/>
        </w:rPr>
      </w:pPr>
      <w:r>
        <w:rPr>
          <w:sz w:val="32"/>
          <w:szCs w:val="32"/>
          <w:lang w:val="es-PE"/>
        </w:rPr>
        <w:t xml:space="preserve">      </w:t>
      </w:r>
      <w:r w:rsidR="00A05B53" w:rsidRPr="00D068A6">
        <w:rPr>
          <w:sz w:val="32"/>
          <w:szCs w:val="32"/>
          <w:lang w:val="es-PE"/>
        </w:rPr>
        <w:t>Ricardo Ffrench-</w:t>
      </w:r>
      <w:r>
        <w:rPr>
          <w:sz w:val="32"/>
          <w:szCs w:val="32"/>
          <w:lang w:val="es-PE"/>
        </w:rPr>
        <w:t>D</w:t>
      </w:r>
      <w:r w:rsidR="00A05B53" w:rsidRPr="00D068A6">
        <w:rPr>
          <w:sz w:val="32"/>
          <w:szCs w:val="32"/>
          <w:lang w:val="es-PE"/>
        </w:rPr>
        <w:t>avis</w:t>
      </w:r>
      <w:r>
        <w:rPr>
          <w:sz w:val="32"/>
          <w:szCs w:val="32"/>
          <w:lang w:val="es-PE"/>
        </w:rPr>
        <w:t>**</w:t>
      </w:r>
    </w:p>
    <w:p w14:paraId="39501F11" w14:textId="77777777" w:rsidR="0013640E" w:rsidRPr="00D068A6" w:rsidRDefault="0013640E" w:rsidP="00D80A4D">
      <w:pPr>
        <w:ind w:left="4956"/>
        <w:outlineLvl w:val="0"/>
        <w:rPr>
          <w:sz w:val="32"/>
          <w:szCs w:val="32"/>
          <w:lang w:val="es-PE"/>
        </w:rPr>
      </w:pPr>
    </w:p>
    <w:p w14:paraId="20035682" w14:textId="4087F09D" w:rsidR="006D52E7" w:rsidRPr="00D068A6" w:rsidRDefault="00E151E6" w:rsidP="006D52E7">
      <w:pPr>
        <w:spacing w:line="360" w:lineRule="auto"/>
        <w:jc w:val="both"/>
        <w:rPr>
          <w:sz w:val="24"/>
          <w:szCs w:val="24"/>
          <w:lang w:val="es-PE"/>
        </w:rPr>
      </w:pPr>
      <w:r w:rsidRPr="00D068A6">
        <w:rPr>
          <w:sz w:val="24"/>
          <w:szCs w:val="24"/>
          <w:lang w:val="es-PE"/>
        </w:rPr>
        <w:t xml:space="preserve"> </w:t>
      </w:r>
      <w:r w:rsidR="000458B1" w:rsidRPr="00D068A6">
        <w:rPr>
          <w:sz w:val="24"/>
          <w:szCs w:val="24"/>
          <w:lang w:val="es-PE"/>
        </w:rPr>
        <w:t>Desde</w:t>
      </w:r>
      <w:r w:rsidR="006D52E7" w:rsidRPr="00D068A6">
        <w:rPr>
          <w:sz w:val="24"/>
          <w:szCs w:val="24"/>
          <w:lang w:val="es-PE"/>
        </w:rPr>
        <w:t xml:space="preserve"> 1999, </w:t>
      </w:r>
      <w:r w:rsidR="000458B1" w:rsidRPr="00D068A6">
        <w:rPr>
          <w:sz w:val="24"/>
          <w:szCs w:val="24"/>
          <w:lang w:val="es-PE"/>
        </w:rPr>
        <w:t xml:space="preserve">el desempeño de la economía chilena ha estado dominado por shocks de </w:t>
      </w:r>
      <w:r w:rsidR="008D7D95">
        <w:rPr>
          <w:sz w:val="24"/>
          <w:szCs w:val="24"/>
          <w:lang w:val="es-PE"/>
        </w:rPr>
        <w:t xml:space="preserve">los </w:t>
      </w:r>
      <w:r w:rsidR="000458B1" w:rsidRPr="00D068A6">
        <w:rPr>
          <w:sz w:val="24"/>
          <w:szCs w:val="24"/>
          <w:lang w:val="es-PE"/>
        </w:rPr>
        <w:t xml:space="preserve">términos de intercambio y </w:t>
      </w:r>
      <w:r w:rsidR="00395376">
        <w:rPr>
          <w:sz w:val="24"/>
          <w:szCs w:val="24"/>
          <w:lang w:val="es-PE"/>
        </w:rPr>
        <w:t xml:space="preserve">la </w:t>
      </w:r>
      <w:r w:rsidR="000458B1" w:rsidRPr="00D068A6">
        <w:rPr>
          <w:sz w:val="24"/>
          <w:szCs w:val="24"/>
          <w:lang w:val="es-PE"/>
        </w:rPr>
        <w:t xml:space="preserve">cuenta de capitales. </w:t>
      </w:r>
      <w:r w:rsidR="000458B1" w:rsidRPr="00D2600E">
        <w:rPr>
          <w:sz w:val="24"/>
          <w:szCs w:val="24"/>
          <w:lang w:val="es-PE"/>
        </w:rPr>
        <w:t xml:space="preserve">Estos fueron negativos </w:t>
      </w:r>
      <w:r w:rsidR="00745546">
        <w:rPr>
          <w:sz w:val="24"/>
          <w:szCs w:val="24"/>
          <w:lang w:val="es-PE"/>
        </w:rPr>
        <w:t>entre 1999 y 2003. En el curso de este año se inició un alza persistente de los precios de los recursos naturales, incluido el cobre;</w:t>
      </w:r>
      <w:r w:rsidR="000458B1" w:rsidRPr="00D2600E">
        <w:rPr>
          <w:sz w:val="24"/>
          <w:szCs w:val="24"/>
          <w:lang w:val="es-PE"/>
        </w:rPr>
        <w:t xml:space="preserve"> excepto por el</w:t>
      </w:r>
      <w:r w:rsidR="000458B1" w:rsidRPr="00973704">
        <w:rPr>
          <w:i/>
          <w:sz w:val="24"/>
          <w:szCs w:val="24"/>
          <w:lang w:val="es-PE"/>
        </w:rPr>
        <w:t xml:space="preserve"> </w:t>
      </w:r>
      <w:r w:rsidR="0029381A" w:rsidRPr="00973704">
        <w:rPr>
          <w:i/>
          <w:sz w:val="24"/>
          <w:szCs w:val="24"/>
          <w:lang w:val="es-PE"/>
        </w:rPr>
        <w:t>peak</w:t>
      </w:r>
      <w:r w:rsidR="000458B1" w:rsidRPr="00D2600E">
        <w:rPr>
          <w:sz w:val="24"/>
          <w:szCs w:val="24"/>
          <w:lang w:val="es-PE"/>
        </w:rPr>
        <w:t xml:space="preserve"> del contagio de la crisis global de</w:t>
      </w:r>
      <w:r w:rsidR="006D52E7" w:rsidRPr="00D2600E">
        <w:rPr>
          <w:sz w:val="24"/>
          <w:szCs w:val="24"/>
          <w:lang w:val="es-PE"/>
        </w:rPr>
        <w:t xml:space="preserve"> 2008-09</w:t>
      </w:r>
      <w:r w:rsidR="008A741F" w:rsidRPr="00D2600E">
        <w:rPr>
          <w:sz w:val="24"/>
          <w:szCs w:val="24"/>
          <w:lang w:val="es-PE"/>
        </w:rPr>
        <w:t>,</w:t>
      </w:r>
      <w:r w:rsidR="006D52E7" w:rsidRPr="00D2600E">
        <w:rPr>
          <w:sz w:val="24"/>
          <w:szCs w:val="24"/>
          <w:lang w:val="es-PE"/>
        </w:rPr>
        <w:t xml:space="preserve"> </w:t>
      </w:r>
      <w:r w:rsidR="00745546">
        <w:rPr>
          <w:sz w:val="24"/>
          <w:szCs w:val="24"/>
          <w:lang w:val="es-PE"/>
        </w:rPr>
        <w:t xml:space="preserve">fueron </w:t>
      </w:r>
      <w:r w:rsidR="000458B1" w:rsidRPr="00D2600E">
        <w:rPr>
          <w:sz w:val="24"/>
          <w:szCs w:val="24"/>
          <w:lang w:val="es-PE"/>
        </w:rPr>
        <w:t>sumamente positivo</w:t>
      </w:r>
      <w:r w:rsidR="00A20007" w:rsidRPr="00D2600E">
        <w:rPr>
          <w:sz w:val="24"/>
          <w:szCs w:val="24"/>
          <w:lang w:val="es-PE"/>
        </w:rPr>
        <w:t>s</w:t>
      </w:r>
      <w:r w:rsidR="000458B1" w:rsidRPr="00D2600E">
        <w:rPr>
          <w:sz w:val="24"/>
          <w:szCs w:val="24"/>
          <w:lang w:val="es-PE"/>
        </w:rPr>
        <w:t xml:space="preserve"> en</w:t>
      </w:r>
      <w:r w:rsidR="00745546">
        <w:rPr>
          <w:sz w:val="24"/>
          <w:szCs w:val="24"/>
          <w:lang w:val="es-PE"/>
        </w:rPr>
        <w:t>tre</w:t>
      </w:r>
      <w:r w:rsidR="008D7D95">
        <w:rPr>
          <w:sz w:val="24"/>
          <w:szCs w:val="24"/>
          <w:lang w:val="es-PE"/>
        </w:rPr>
        <w:t xml:space="preserve"> el</w:t>
      </w:r>
      <w:r w:rsidR="000458B1" w:rsidRPr="00D2600E">
        <w:rPr>
          <w:sz w:val="24"/>
          <w:szCs w:val="24"/>
          <w:lang w:val="es-PE"/>
        </w:rPr>
        <w:t xml:space="preserve"> </w:t>
      </w:r>
      <w:r w:rsidR="006D52E7" w:rsidRPr="00D2600E">
        <w:rPr>
          <w:sz w:val="24"/>
          <w:szCs w:val="24"/>
          <w:lang w:val="es-PE"/>
        </w:rPr>
        <w:t>2004</w:t>
      </w:r>
      <w:r w:rsidR="008D7D95">
        <w:rPr>
          <w:sz w:val="24"/>
          <w:szCs w:val="24"/>
          <w:lang w:val="es-PE"/>
        </w:rPr>
        <w:t xml:space="preserve"> y 20</w:t>
      </w:r>
      <w:r w:rsidR="006D52E7" w:rsidRPr="00D2600E">
        <w:rPr>
          <w:sz w:val="24"/>
          <w:szCs w:val="24"/>
          <w:lang w:val="es-PE"/>
        </w:rPr>
        <w:t xml:space="preserve">13. </w:t>
      </w:r>
      <w:r w:rsidR="000458B1" w:rsidRPr="00D2600E">
        <w:rPr>
          <w:sz w:val="24"/>
          <w:szCs w:val="24"/>
          <w:lang w:val="es-PE"/>
        </w:rPr>
        <w:t xml:space="preserve">Desde entonces, se han producido </w:t>
      </w:r>
      <w:r w:rsidR="00D2600E" w:rsidRPr="00D2600E">
        <w:rPr>
          <w:sz w:val="24"/>
          <w:szCs w:val="24"/>
          <w:lang w:val="es-PE"/>
        </w:rPr>
        <w:t xml:space="preserve">intensos </w:t>
      </w:r>
      <w:r w:rsidR="000458B1" w:rsidRPr="00D2600E">
        <w:rPr>
          <w:sz w:val="24"/>
          <w:szCs w:val="24"/>
          <w:lang w:val="es-PE"/>
        </w:rPr>
        <w:t>shocks negativos</w:t>
      </w:r>
      <w:r w:rsidR="006D52E7" w:rsidRPr="00D2600E">
        <w:rPr>
          <w:sz w:val="24"/>
          <w:szCs w:val="24"/>
          <w:lang w:val="es-PE"/>
        </w:rPr>
        <w:t>.</w:t>
      </w:r>
      <w:r w:rsidR="006D52E7" w:rsidRPr="00D068A6">
        <w:rPr>
          <w:sz w:val="24"/>
          <w:szCs w:val="24"/>
          <w:lang w:val="es-PE"/>
        </w:rPr>
        <w:t xml:space="preserve">  </w:t>
      </w:r>
    </w:p>
    <w:p w14:paraId="3B1A6F8D" w14:textId="4E11F08E" w:rsidR="006D52E7" w:rsidRPr="00D068A6" w:rsidRDefault="000458B1" w:rsidP="006D52E7">
      <w:pPr>
        <w:spacing w:line="360" w:lineRule="auto"/>
        <w:ind w:firstLine="709"/>
        <w:jc w:val="both"/>
        <w:rPr>
          <w:sz w:val="24"/>
          <w:szCs w:val="24"/>
          <w:lang w:val="es-PE"/>
        </w:rPr>
      </w:pPr>
      <w:r w:rsidRPr="00D068A6">
        <w:rPr>
          <w:sz w:val="24"/>
          <w:szCs w:val="24"/>
          <w:lang w:val="es-PE"/>
        </w:rPr>
        <w:t>Como se analiza en</w:t>
      </w:r>
      <w:r w:rsidR="006D52E7" w:rsidRPr="00D068A6">
        <w:rPr>
          <w:sz w:val="24"/>
          <w:szCs w:val="24"/>
          <w:lang w:val="es-PE"/>
        </w:rPr>
        <w:t xml:space="preserve"> Ffrench-Davis</w:t>
      </w:r>
      <w:r w:rsidR="008A741F" w:rsidRPr="00D068A6">
        <w:rPr>
          <w:sz w:val="24"/>
          <w:szCs w:val="24"/>
          <w:lang w:val="es-PE"/>
        </w:rPr>
        <w:t xml:space="preserve"> </w:t>
      </w:r>
      <w:r w:rsidR="00A20007">
        <w:rPr>
          <w:sz w:val="24"/>
          <w:szCs w:val="24"/>
          <w:lang w:val="es-PE"/>
        </w:rPr>
        <w:t>(</w:t>
      </w:r>
      <w:r w:rsidR="006D52E7" w:rsidRPr="00D068A6">
        <w:rPr>
          <w:sz w:val="24"/>
          <w:szCs w:val="24"/>
          <w:lang w:val="es-PE"/>
        </w:rPr>
        <w:t xml:space="preserve">2015), </w:t>
      </w:r>
      <w:r w:rsidRPr="00D068A6">
        <w:rPr>
          <w:sz w:val="24"/>
          <w:szCs w:val="24"/>
          <w:lang w:val="es-PE"/>
        </w:rPr>
        <w:t xml:space="preserve">el PBI de Chile </w:t>
      </w:r>
      <w:r w:rsidR="008A741F" w:rsidRPr="00D068A6">
        <w:rPr>
          <w:sz w:val="24"/>
          <w:szCs w:val="24"/>
          <w:lang w:val="es-PE"/>
        </w:rPr>
        <w:t>creci</w:t>
      </w:r>
      <w:r w:rsidRPr="00D068A6">
        <w:rPr>
          <w:sz w:val="24"/>
          <w:szCs w:val="24"/>
          <w:lang w:val="es-PE"/>
        </w:rPr>
        <w:t xml:space="preserve">ó </w:t>
      </w:r>
      <w:r w:rsidR="008A741F" w:rsidRPr="00D068A6">
        <w:rPr>
          <w:sz w:val="24"/>
          <w:szCs w:val="24"/>
          <w:lang w:val="es-PE"/>
        </w:rPr>
        <w:t>en</w:t>
      </w:r>
      <w:r w:rsidRPr="00D068A6">
        <w:rPr>
          <w:sz w:val="24"/>
          <w:szCs w:val="24"/>
          <w:lang w:val="es-PE"/>
        </w:rPr>
        <w:t xml:space="preserve"> promedio 3,9% en el período de 15 años </w:t>
      </w:r>
      <w:r w:rsidR="008A741F" w:rsidRPr="00D068A6">
        <w:rPr>
          <w:sz w:val="24"/>
          <w:szCs w:val="24"/>
          <w:lang w:val="es-PE"/>
        </w:rPr>
        <w:t xml:space="preserve">que </w:t>
      </w:r>
      <w:r w:rsidR="008A741F" w:rsidRPr="007635E2">
        <w:rPr>
          <w:sz w:val="24"/>
          <w:szCs w:val="24"/>
          <w:lang w:val="es-PE"/>
        </w:rPr>
        <w:t>abarca</w:t>
      </w:r>
      <w:r w:rsidR="008A741F" w:rsidRPr="00D068A6">
        <w:rPr>
          <w:sz w:val="24"/>
          <w:szCs w:val="24"/>
          <w:lang w:val="es-PE"/>
        </w:rPr>
        <w:t xml:space="preserve"> </w:t>
      </w:r>
      <w:r w:rsidRPr="00D068A6">
        <w:rPr>
          <w:sz w:val="24"/>
          <w:szCs w:val="24"/>
          <w:lang w:val="es-PE"/>
        </w:rPr>
        <w:t>de</w:t>
      </w:r>
      <w:r w:rsidR="008A741F" w:rsidRPr="00D068A6">
        <w:rPr>
          <w:sz w:val="24"/>
          <w:szCs w:val="24"/>
          <w:lang w:val="es-PE"/>
        </w:rPr>
        <w:t>sde</w:t>
      </w:r>
      <w:r w:rsidRPr="00D068A6">
        <w:rPr>
          <w:sz w:val="24"/>
          <w:szCs w:val="24"/>
          <w:lang w:val="es-PE"/>
        </w:rPr>
        <w:t xml:space="preserve"> </w:t>
      </w:r>
      <w:r w:rsidR="006D52E7" w:rsidRPr="00D068A6">
        <w:rPr>
          <w:sz w:val="24"/>
          <w:szCs w:val="24"/>
          <w:lang w:val="es-PE"/>
        </w:rPr>
        <w:t xml:space="preserve">1999 </w:t>
      </w:r>
      <w:r w:rsidRPr="00D068A6">
        <w:rPr>
          <w:sz w:val="24"/>
          <w:szCs w:val="24"/>
          <w:lang w:val="es-PE"/>
        </w:rPr>
        <w:t>hasta</w:t>
      </w:r>
      <w:r w:rsidR="006D52E7" w:rsidRPr="00D068A6">
        <w:rPr>
          <w:sz w:val="24"/>
          <w:szCs w:val="24"/>
          <w:lang w:val="es-PE"/>
        </w:rPr>
        <w:t xml:space="preserve"> 2013. </w:t>
      </w:r>
      <w:r w:rsidRPr="00D068A6">
        <w:rPr>
          <w:sz w:val="24"/>
          <w:szCs w:val="24"/>
          <w:lang w:val="es-PE"/>
        </w:rPr>
        <w:t xml:space="preserve">Ello constituyó una aguda caída </w:t>
      </w:r>
      <w:r w:rsidR="007635E2">
        <w:rPr>
          <w:sz w:val="24"/>
          <w:szCs w:val="24"/>
          <w:lang w:val="es-PE"/>
        </w:rPr>
        <w:t>en comparación a</w:t>
      </w:r>
      <w:r w:rsidRPr="00D068A6">
        <w:rPr>
          <w:sz w:val="24"/>
          <w:szCs w:val="24"/>
          <w:lang w:val="es-PE"/>
        </w:rPr>
        <w:t xml:space="preserve">l </w:t>
      </w:r>
      <w:r w:rsidR="008A741F" w:rsidRPr="00D068A6">
        <w:rPr>
          <w:sz w:val="24"/>
          <w:szCs w:val="24"/>
          <w:lang w:val="es-PE"/>
        </w:rPr>
        <w:t>7</w:t>
      </w:r>
      <w:r w:rsidR="008C4EFB">
        <w:rPr>
          <w:sz w:val="24"/>
          <w:szCs w:val="24"/>
          <w:lang w:val="es-PE"/>
        </w:rPr>
        <w:t>,1</w:t>
      </w:r>
      <w:r w:rsidR="008A741F" w:rsidRPr="00D068A6">
        <w:rPr>
          <w:sz w:val="24"/>
          <w:szCs w:val="24"/>
          <w:lang w:val="es-PE"/>
        </w:rPr>
        <w:t xml:space="preserve">% </w:t>
      </w:r>
      <w:r w:rsidR="004B1CB1" w:rsidRPr="00D068A6">
        <w:rPr>
          <w:sz w:val="24"/>
          <w:szCs w:val="24"/>
          <w:lang w:val="es-PE"/>
        </w:rPr>
        <w:t xml:space="preserve">de </w:t>
      </w:r>
      <w:r w:rsidRPr="00D068A6">
        <w:rPr>
          <w:sz w:val="24"/>
          <w:szCs w:val="24"/>
          <w:lang w:val="es-PE"/>
        </w:rPr>
        <w:t xml:space="preserve">crecimiento anual </w:t>
      </w:r>
      <w:r w:rsidR="008A741F" w:rsidRPr="00D068A6">
        <w:rPr>
          <w:sz w:val="24"/>
          <w:szCs w:val="24"/>
          <w:lang w:val="es-PE"/>
        </w:rPr>
        <w:t xml:space="preserve">que </w:t>
      </w:r>
      <w:r w:rsidR="007635E2">
        <w:rPr>
          <w:sz w:val="24"/>
          <w:szCs w:val="24"/>
          <w:lang w:val="es-PE"/>
        </w:rPr>
        <w:t xml:space="preserve">se </w:t>
      </w:r>
      <w:r w:rsidR="008A741F" w:rsidRPr="00D068A6">
        <w:rPr>
          <w:sz w:val="24"/>
          <w:szCs w:val="24"/>
          <w:lang w:val="es-PE"/>
        </w:rPr>
        <w:t xml:space="preserve">registró </w:t>
      </w:r>
      <w:r w:rsidRPr="00D068A6">
        <w:rPr>
          <w:sz w:val="24"/>
          <w:szCs w:val="24"/>
          <w:lang w:val="es-PE"/>
        </w:rPr>
        <w:t xml:space="preserve">entre 1990 y 1998, </w:t>
      </w:r>
      <w:r w:rsidR="008A741F" w:rsidRPr="00D068A6">
        <w:rPr>
          <w:sz w:val="24"/>
          <w:szCs w:val="24"/>
          <w:lang w:val="es-PE"/>
        </w:rPr>
        <w:t>tras</w:t>
      </w:r>
      <w:r w:rsidRPr="00D068A6">
        <w:rPr>
          <w:sz w:val="24"/>
          <w:szCs w:val="24"/>
          <w:lang w:val="es-PE"/>
        </w:rPr>
        <w:t xml:space="preserve"> </w:t>
      </w:r>
      <w:r w:rsidR="008D7D95">
        <w:rPr>
          <w:sz w:val="24"/>
          <w:szCs w:val="24"/>
          <w:lang w:val="es-PE"/>
        </w:rPr>
        <w:t>el retorno</w:t>
      </w:r>
      <w:r w:rsidRPr="00D068A6">
        <w:rPr>
          <w:sz w:val="24"/>
          <w:szCs w:val="24"/>
          <w:lang w:val="es-PE"/>
        </w:rPr>
        <w:t xml:space="preserve"> </w:t>
      </w:r>
      <w:r w:rsidR="008D7D95">
        <w:rPr>
          <w:sz w:val="24"/>
          <w:szCs w:val="24"/>
          <w:lang w:val="es-PE"/>
        </w:rPr>
        <w:t>a</w:t>
      </w:r>
      <w:r w:rsidRPr="00D068A6">
        <w:rPr>
          <w:sz w:val="24"/>
          <w:szCs w:val="24"/>
          <w:lang w:val="es-PE"/>
        </w:rPr>
        <w:t xml:space="preserve"> la democracia en 1990</w:t>
      </w:r>
      <w:r w:rsidR="006D52E7" w:rsidRPr="00D068A6">
        <w:rPr>
          <w:sz w:val="24"/>
          <w:szCs w:val="24"/>
          <w:lang w:val="es-PE"/>
        </w:rPr>
        <w:t xml:space="preserve"> (</w:t>
      </w:r>
      <w:r w:rsidR="00151A9D">
        <w:rPr>
          <w:sz w:val="24"/>
          <w:szCs w:val="24"/>
          <w:lang w:val="es-PE"/>
        </w:rPr>
        <w:t>v</w:t>
      </w:r>
      <w:r w:rsidRPr="00D068A6">
        <w:rPr>
          <w:sz w:val="24"/>
          <w:szCs w:val="24"/>
          <w:lang w:val="es-PE"/>
        </w:rPr>
        <w:t>er</w:t>
      </w:r>
      <w:r w:rsidR="008A741F" w:rsidRPr="00D068A6">
        <w:rPr>
          <w:sz w:val="24"/>
          <w:szCs w:val="24"/>
          <w:lang w:val="es-PE"/>
        </w:rPr>
        <w:t xml:space="preserve"> </w:t>
      </w:r>
      <w:r w:rsidR="00ED7230">
        <w:rPr>
          <w:sz w:val="24"/>
          <w:szCs w:val="24"/>
          <w:lang w:val="es-PE"/>
        </w:rPr>
        <w:t>cuadro</w:t>
      </w:r>
      <w:r w:rsidR="006D52E7" w:rsidRPr="00D068A6">
        <w:rPr>
          <w:sz w:val="24"/>
          <w:szCs w:val="24"/>
          <w:lang w:val="es-PE"/>
        </w:rPr>
        <w:t xml:space="preserve"> 1). </w:t>
      </w:r>
      <w:r w:rsidRPr="00D2600E">
        <w:rPr>
          <w:sz w:val="24"/>
          <w:szCs w:val="24"/>
          <w:lang w:val="es-PE"/>
        </w:rPr>
        <w:t xml:space="preserve">Ese artículo </w:t>
      </w:r>
      <w:r w:rsidR="00E724F7" w:rsidRPr="00D2600E">
        <w:rPr>
          <w:sz w:val="24"/>
          <w:szCs w:val="24"/>
          <w:lang w:val="es-PE"/>
        </w:rPr>
        <w:t xml:space="preserve">tiene </w:t>
      </w:r>
      <w:r w:rsidR="00E025B0" w:rsidRPr="00D2600E">
        <w:rPr>
          <w:sz w:val="24"/>
          <w:szCs w:val="24"/>
          <w:lang w:val="es-PE"/>
        </w:rPr>
        <w:t xml:space="preserve">como </w:t>
      </w:r>
      <w:r w:rsidR="006033B8" w:rsidRPr="00D2600E">
        <w:rPr>
          <w:sz w:val="24"/>
          <w:szCs w:val="24"/>
          <w:lang w:val="es-PE"/>
        </w:rPr>
        <w:t>p</w:t>
      </w:r>
      <w:r w:rsidRPr="00D2600E">
        <w:rPr>
          <w:sz w:val="24"/>
          <w:szCs w:val="24"/>
          <w:lang w:val="es-PE"/>
        </w:rPr>
        <w:t xml:space="preserve">ropósito </w:t>
      </w:r>
      <w:r w:rsidR="008A741F" w:rsidRPr="00D2600E">
        <w:rPr>
          <w:sz w:val="24"/>
          <w:szCs w:val="24"/>
          <w:lang w:val="es-PE"/>
        </w:rPr>
        <w:t>aport</w:t>
      </w:r>
      <w:r w:rsidR="006033B8" w:rsidRPr="00D2600E">
        <w:rPr>
          <w:sz w:val="24"/>
          <w:szCs w:val="24"/>
          <w:lang w:val="es-PE"/>
        </w:rPr>
        <w:t>ar</w:t>
      </w:r>
      <w:r w:rsidRPr="00D2600E">
        <w:rPr>
          <w:sz w:val="24"/>
          <w:szCs w:val="24"/>
          <w:lang w:val="es-PE"/>
        </w:rPr>
        <w:t xml:space="preserve"> a la </w:t>
      </w:r>
      <w:r w:rsidR="00D2600E">
        <w:rPr>
          <w:sz w:val="24"/>
          <w:szCs w:val="24"/>
          <w:lang w:val="es-PE"/>
        </w:rPr>
        <w:t xml:space="preserve">discusión sobre </w:t>
      </w:r>
      <w:r w:rsidR="008D7D95">
        <w:rPr>
          <w:sz w:val="24"/>
          <w:szCs w:val="24"/>
          <w:lang w:val="es-PE"/>
        </w:rPr>
        <w:t>las razones d</w:t>
      </w:r>
      <w:r w:rsidR="00D2600E">
        <w:rPr>
          <w:sz w:val="24"/>
          <w:szCs w:val="24"/>
          <w:lang w:val="es-PE"/>
        </w:rPr>
        <w:t>el</w:t>
      </w:r>
      <w:r w:rsidRPr="00D2600E">
        <w:rPr>
          <w:sz w:val="24"/>
          <w:szCs w:val="24"/>
          <w:lang w:val="es-PE"/>
        </w:rPr>
        <w:t xml:space="preserve"> significativo </w:t>
      </w:r>
      <w:r w:rsidR="00A3126F" w:rsidRPr="00D2600E">
        <w:rPr>
          <w:sz w:val="24"/>
          <w:szCs w:val="24"/>
          <w:lang w:val="es-PE"/>
        </w:rPr>
        <w:t>cambio</w:t>
      </w:r>
      <w:r w:rsidR="00D2600E">
        <w:rPr>
          <w:sz w:val="24"/>
          <w:szCs w:val="24"/>
          <w:lang w:val="es-PE"/>
        </w:rPr>
        <w:t xml:space="preserve"> en</w:t>
      </w:r>
      <w:r w:rsidRPr="00D2600E">
        <w:rPr>
          <w:sz w:val="24"/>
          <w:szCs w:val="24"/>
          <w:lang w:val="es-PE"/>
        </w:rPr>
        <w:t xml:space="preserve"> </w:t>
      </w:r>
      <w:r w:rsidR="008A741F" w:rsidRPr="00D2600E">
        <w:rPr>
          <w:sz w:val="24"/>
          <w:szCs w:val="24"/>
          <w:lang w:val="es-PE"/>
        </w:rPr>
        <w:t xml:space="preserve">los </w:t>
      </w:r>
      <w:r w:rsidRPr="00D2600E">
        <w:rPr>
          <w:sz w:val="24"/>
          <w:szCs w:val="24"/>
          <w:lang w:val="es-PE"/>
        </w:rPr>
        <w:t>resultados económicos</w:t>
      </w:r>
      <w:r w:rsidR="006033B8" w:rsidRPr="00D2600E">
        <w:rPr>
          <w:sz w:val="24"/>
          <w:szCs w:val="24"/>
          <w:lang w:val="es-PE"/>
        </w:rPr>
        <w:t>; dado que no se registraron cambios  significativos  en e</w:t>
      </w:r>
      <w:r w:rsidRPr="00D2600E">
        <w:rPr>
          <w:sz w:val="24"/>
          <w:szCs w:val="24"/>
          <w:lang w:val="es-PE"/>
        </w:rPr>
        <w:t xml:space="preserve">l enfoque microeconómico, </w:t>
      </w:r>
      <w:r w:rsidR="00D2600E">
        <w:rPr>
          <w:sz w:val="24"/>
          <w:szCs w:val="24"/>
          <w:lang w:val="es-PE"/>
        </w:rPr>
        <w:t xml:space="preserve">la explicación </w:t>
      </w:r>
      <w:r w:rsidR="006033B8" w:rsidRPr="00D2600E">
        <w:rPr>
          <w:sz w:val="24"/>
          <w:szCs w:val="24"/>
          <w:lang w:val="es-PE"/>
        </w:rPr>
        <w:t>se</w:t>
      </w:r>
      <w:r w:rsidRPr="00D2600E">
        <w:rPr>
          <w:sz w:val="24"/>
          <w:szCs w:val="24"/>
          <w:lang w:val="es-PE"/>
        </w:rPr>
        <w:t xml:space="preserve"> concentr</w:t>
      </w:r>
      <w:r w:rsidR="00D2600E">
        <w:rPr>
          <w:sz w:val="24"/>
          <w:szCs w:val="24"/>
          <w:lang w:val="es-PE"/>
        </w:rPr>
        <w:t>a</w:t>
      </w:r>
      <w:r w:rsidRPr="00D2600E">
        <w:rPr>
          <w:sz w:val="24"/>
          <w:szCs w:val="24"/>
          <w:lang w:val="es-PE"/>
        </w:rPr>
        <w:t xml:space="preserve"> en las políticas macroeconómicas</w:t>
      </w:r>
      <w:r w:rsidR="006D52E7" w:rsidRPr="00D2600E">
        <w:rPr>
          <w:sz w:val="24"/>
          <w:szCs w:val="24"/>
          <w:lang w:val="es-PE"/>
        </w:rPr>
        <w:t>.</w:t>
      </w:r>
      <w:r w:rsidR="006D52E7" w:rsidRPr="00D068A6">
        <w:rPr>
          <w:sz w:val="24"/>
          <w:szCs w:val="24"/>
          <w:lang w:val="es-PE"/>
        </w:rPr>
        <w:t xml:space="preserve"> </w:t>
      </w:r>
    </w:p>
    <w:p w14:paraId="00364227" w14:textId="612E2997" w:rsidR="006D52E7" w:rsidRPr="00D068A6" w:rsidRDefault="006D52E7" w:rsidP="00D80A4D">
      <w:pPr>
        <w:spacing w:line="360" w:lineRule="auto"/>
        <w:ind w:firstLine="709"/>
        <w:jc w:val="both"/>
        <w:outlineLvl w:val="0"/>
        <w:rPr>
          <w:sz w:val="24"/>
          <w:szCs w:val="24"/>
          <w:lang w:val="es-PE"/>
        </w:rPr>
      </w:pPr>
      <w:r w:rsidRPr="00D068A6">
        <w:rPr>
          <w:sz w:val="24"/>
          <w:szCs w:val="24"/>
          <w:lang w:val="es-PE"/>
        </w:rPr>
        <w:tab/>
      </w:r>
      <w:r w:rsidRPr="00D068A6">
        <w:rPr>
          <w:sz w:val="24"/>
          <w:szCs w:val="24"/>
          <w:lang w:val="es-PE"/>
        </w:rPr>
        <w:tab/>
      </w:r>
      <w:r w:rsidRPr="00D068A6">
        <w:rPr>
          <w:sz w:val="24"/>
          <w:szCs w:val="24"/>
          <w:lang w:val="es-PE"/>
        </w:rPr>
        <w:tab/>
      </w:r>
      <w:r w:rsidRPr="00D068A6">
        <w:rPr>
          <w:sz w:val="24"/>
          <w:szCs w:val="24"/>
          <w:lang w:val="es-PE"/>
        </w:rPr>
        <w:tab/>
        <w:t xml:space="preserve">      </w:t>
      </w:r>
      <w:r w:rsidR="00ED7230">
        <w:rPr>
          <w:sz w:val="24"/>
          <w:szCs w:val="24"/>
          <w:lang w:val="es-PE"/>
        </w:rPr>
        <w:t>Cuadro</w:t>
      </w:r>
      <w:r w:rsidRPr="00D068A6">
        <w:rPr>
          <w:sz w:val="24"/>
          <w:szCs w:val="24"/>
          <w:lang w:val="es-PE"/>
        </w:rPr>
        <w:t xml:space="preserve"> 1</w:t>
      </w:r>
    </w:p>
    <w:p w14:paraId="3C94820C" w14:textId="66584428" w:rsidR="006D52E7" w:rsidRPr="00D068A6" w:rsidDel="00007C1C" w:rsidRDefault="00D80A4D" w:rsidP="006D52E7">
      <w:pPr>
        <w:spacing w:line="360" w:lineRule="auto"/>
        <w:ind w:firstLine="709"/>
        <w:jc w:val="both"/>
        <w:rPr>
          <w:sz w:val="24"/>
          <w:szCs w:val="24"/>
          <w:lang w:val="es-PE"/>
        </w:rPr>
      </w:pPr>
      <w:r>
        <w:rPr>
          <w:sz w:val="24"/>
          <w:szCs w:val="24"/>
          <w:lang w:val="es-PE"/>
        </w:rPr>
        <w:t>La</w:t>
      </w:r>
      <w:r w:rsidR="000458B1" w:rsidRPr="00D80A4D">
        <w:rPr>
          <w:sz w:val="24"/>
          <w:szCs w:val="24"/>
          <w:lang w:val="es-PE"/>
        </w:rPr>
        <w:t xml:space="preserve"> adopción de </w:t>
      </w:r>
      <w:r w:rsidR="008A741F" w:rsidRPr="00D80A4D">
        <w:rPr>
          <w:sz w:val="24"/>
          <w:szCs w:val="24"/>
          <w:lang w:val="es-PE"/>
        </w:rPr>
        <w:t xml:space="preserve">metas de </w:t>
      </w:r>
      <w:r w:rsidR="000458B1" w:rsidRPr="00D80A4D">
        <w:rPr>
          <w:sz w:val="24"/>
          <w:szCs w:val="24"/>
          <w:lang w:val="es-PE"/>
        </w:rPr>
        <w:t>inflación</w:t>
      </w:r>
      <w:r>
        <w:rPr>
          <w:sz w:val="24"/>
          <w:szCs w:val="24"/>
          <w:lang w:val="es-PE"/>
        </w:rPr>
        <w:t xml:space="preserve"> como objetivo principal de la política monetaria</w:t>
      </w:r>
      <w:r w:rsidR="000458B1" w:rsidRPr="00D80A4D">
        <w:rPr>
          <w:sz w:val="24"/>
          <w:szCs w:val="24"/>
          <w:lang w:val="es-PE"/>
        </w:rPr>
        <w:t>, en combinación con una apertura total de la cuenta de capitales y la libera</w:t>
      </w:r>
      <w:r w:rsidR="00A3126F" w:rsidRPr="00D80A4D">
        <w:rPr>
          <w:sz w:val="24"/>
          <w:szCs w:val="24"/>
          <w:lang w:val="es-PE"/>
        </w:rPr>
        <w:t>liza</w:t>
      </w:r>
      <w:r w:rsidR="000458B1" w:rsidRPr="00D80A4D">
        <w:rPr>
          <w:sz w:val="24"/>
          <w:szCs w:val="24"/>
          <w:lang w:val="es-PE"/>
        </w:rPr>
        <w:t xml:space="preserve">ción </w:t>
      </w:r>
      <w:r w:rsidR="008D7D95">
        <w:rPr>
          <w:sz w:val="24"/>
          <w:szCs w:val="24"/>
          <w:lang w:val="es-PE"/>
        </w:rPr>
        <w:t>del tipo</w:t>
      </w:r>
      <w:r w:rsidR="000458B1" w:rsidRPr="00D80A4D">
        <w:rPr>
          <w:sz w:val="24"/>
          <w:szCs w:val="24"/>
          <w:lang w:val="es-PE"/>
        </w:rPr>
        <w:t xml:space="preserve"> de cambio, </w:t>
      </w:r>
      <w:r w:rsidR="008A741F" w:rsidRPr="00D80A4D">
        <w:rPr>
          <w:sz w:val="24"/>
          <w:szCs w:val="24"/>
          <w:lang w:val="es-PE"/>
        </w:rPr>
        <w:t>logró</w:t>
      </w:r>
      <w:r w:rsidR="000458B1" w:rsidRPr="00D80A4D">
        <w:rPr>
          <w:sz w:val="24"/>
          <w:szCs w:val="24"/>
          <w:lang w:val="es-PE"/>
        </w:rPr>
        <w:t xml:space="preserve"> una baja tasa de inflación y evit</w:t>
      </w:r>
      <w:r w:rsidR="006033B8" w:rsidRPr="00D80A4D">
        <w:rPr>
          <w:sz w:val="24"/>
          <w:szCs w:val="24"/>
          <w:lang w:val="es-PE"/>
        </w:rPr>
        <w:t>ó</w:t>
      </w:r>
      <w:r w:rsidR="000458B1" w:rsidRPr="00D80A4D">
        <w:rPr>
          <w:sz w:val="24"/>
          <w:szCs w:val="24"/>
          <w:lang w:val="es-PE"/>
        </w:rPr>
        <w:t xml:space="preserve"> crisis en la balanza de pagos</w:t>
      </w:r>
      <w:r w:rsidR="000458B1" w:rsidRPr="00D068A6">
        <w:rPr>
          <w:sz w:val="24"/>
          <w:szCs w:val="24"/>
          <w:lang w:val="es-PE"/>
        </w:rPr>
        <w:t xml:space="preserve">. Sin embargo, ello </w:t>
      </w:r>
      <w:r w:rsidR="007635E2">
        <w:rPr>
          <w:sz w:val="24"/>
          <w:szCs w:val="24"/>
          <w:lang w:val="es-PE"/>
        </w:rPr>
        <w:t>causo</w:t>
      </w:r>
      <w:r w:rsidR="000458B1" w:rsidRPr="00D068A6">
        <w:rPr>
          <w:sz w:val="24"/>
          <w:szCs w:val="24"/>
          <w:lang w:val="es-PE"/>
        </w:rPr>
        <w:t xml:space="preserve"> que la economía oper</w:t>
      </w:r>
      <w:r w:rsidR="006033B8">
        <w:rPr>
          <w:sz w:val="24"/>
          <w:szCs w:val="24"/>
          <w:lang w:val="es-PE"/>
        </w:rPr>
        <w:t>ase</w:t>
      </w:r>
      <w:r w:rsidR="000458B1" w:rsidRPr="00D068A6">
        <w:rPr>
          <w:sz w:val="24"/>
          <w:szCs w:val="24"/>
          <w:lang w:val="es-PE"/>
        </w:rPr>
        <w:t xml:space="preserve"> por debajo de su producto potencial,</w:t>
      </w:r>
      <w:r w:rsidR="00046939" w:rsidRPr="00D068A6">
        <w:rPr>
          <w:sz w:val="24"/>
          <w:szCs w:val="24"/>
          <w:lang w:val="es-PE"/>
        </w:rPr>
        <w:t xml:space="preserve"> mientras que </w:t>
      </w:r>
      <w:r w:rsidR="008D7D95">
        <w:rPr>
          <w:sz w:val="24"/>
          <w:szCs w:val="24"/>
          <w:lang w:val="es-PE"/>
        </w:rPr>
        <w:t>el tipo</w:t>
      </w:r>
      <w:r w:rsidR="00046939" w:rsidRPr="00D068A6">
        <w:rPr>
          <w:sz w:val="24"/>
          <w:szCs w:val="24"/>
          <w:lang w:val="es-PE"/>
        </w:rPr>
        <w:t xml:space="preserve"> de cambio</w:t>
      </w:r>
      <w:r w:rsidR="000458B1" w:rsidRPr="00D068A6">
        <w:rPr>
          <w:sz w:val="24"/>
          <w:szCs w:val="24"/>
          <w:lang w:val="es-PE"/>
        </w:rPr>
        <w:t xml:space="preserve"> y la cuenta corriente reales mostraron </w:t>
      </w:r>
      <w:r w:rsidR="00E724F7">
        <w:rPr>
          <w:sz w:val="24"/>
          <w:szCs w:val="24"/>
          <w:lang w:val="es-PE"/>
        </w:rPr>
        <w:t xml:space="preserve">gran </w:t>
      </w:r>
      <w:r w:rsidR="000458B1" w:rsidRPr="00D068A6">
        <w:rPr>
          <w:sz w:val="24"/>
          <w:szCs w:val="24"/>
          <w:lang w:val="es-PE"/>
        </w:rPr>
        <w:t>inestabilidad. L</w:t>
      </w:r>
      <w:r w:rsidR="006033B8">
        <w:rPr>
          <w:sz w:val="24"/>
          <w:szCs w:val="24"/>
          <w:lang w:val="es-PE"/>
        </w:rPr>
        <w:t>a prociclicidad de l</w:t>
      </w:r>
      <w:r w:rsidR="000458B1" w:rsidRPr="00D068A6">
        <w:rPr>
          <w:sz w:val="24"/>
          <w:szCs w:val="24"/>
          <w:lang w:val="es-PE"/>
        </w:rPr>
        <w:t xml:space="preserve">os flujos financieros y </w:t>
      </w:r>
      <w:r w:rsidR="006033B8">
        <w:rPr>
          <w:sz w:val="24"/>
          <w:szCs w:val="24"/>
          <w:lang w:val="es-PE"/>
        </w:rPr>
        <w:t>d</w:t>
      </w:r>
      <w:r w:rsidR="000458B1" w:rsidRPr="00D068A6">
        <w:rPr>
          <w:sz w:val="24"/>
          <w:szCs w:val="24"/>
          <w:lang w:val="es-PE"/>
        </w:rPr>
        <w:t xml:space="preserve">el precio del cobre actuaron como canales activos de transmisión de la inestabilidad externa de mediano plazo a los </w:t>
      </w:r>
      <w:r w:rsidR="00BD1EEA" w:rsidRPr="00D068A6">
        <w:rPr>
          <w:sz w:val="24"/>
          <w:szCs w:val="24"/>
          <w:lang w:val="es-PE"/>
        </w:rPr>
        <w:t xml:space="preserve">mercados </w:t>
      </w:r>
      <w:r w:rsidR="006033B8">
        <w:rPr>
          <w:sz w:val="24"/>
          <w:szCs w:val="24"/>
          <w:lang w:val="es-PE"/>
        </w:rPr>
        <w:t>internos</w:t>
      </w:r>
      <w:r w:rsidR="00BD1EEA" w:rsidRPr="00D068A6">
        <w:rPr>
          <w:sz w:val="24"/>
          <w:szCs w:val="24"/>
          <w:lang w:val="es-PE"/>
        </w:rPr>
        <w:t xml:space="preserve">. Por otro lado, la política fiscal </w:t>
      </w:r>
      <w:r w:rsidR="00536C0B">
        <w:rPr>
          <w:sz w:val="24"/>
          <w:szCs w:val="24"/>
          <w:lang w:val="es-PE"/>
        </w:rPr>
        <w:t>pasó</w:t>
      </w:r>
      <w:r w:rsidR="00BD1EEA" w:rsidRPr="00D068A6">
        <w:rPr>
          <w:sz w:val="24"/>
          <w:szCs w:val="24"/>
          <w:lang w:val="es-PE"/>
        </w:rPr>
        <w:t xml:space="preserve"> </w:t>
      </w:r>
      <w:r w:rsidR="00A3126F" w:rsidRPr="00D068A6">
        <w:rPr>
          <w:sz w:val="24"/>
          <w:szCs w:val="24"/>
          <w:lang w:val="es-PE"/>
        </w:rPr>
        <w:t xml:space="preserve">de ser </w:t>
      </w:r>
      <w:r w:rsidR="00BD1EEA" w:rsidRPr="00D068A6">
        <w:rPr>
          <w:sz w:val="24"/>
          <w:szCs w:val="24"/>
          <w:lang w:val="es-PE"/>
        </w:rPr>
        <w:t>más bien neutral en los años 2000 a ser efectivamente contracíclica en</w:t>
      </w:r>
      <w:r w:rsidR="000458B1" w:rsidRPr="00D068A6">
        <w:rPr>
          <w:sz w:val="24"/>
          <w:szCs w:val="24"/>
          <w:lang w:val="es-PE"/>
        </w:rPr>
        <w:t xml:space="preserve"> </w:t>
      </w:r>
      <w:r w:rsidR="00626887" w:rsidRPr="00D068A6">
        <w:rPr>
          <w:sz w:val="24"/>
          <w:szCs w:val="24"/>
          <w:lang w:val="es-PE"/>
        </w:rPr>
        <w:t xml:space="preserve"> </w:t>
      </w:r>
      <w:r w:rsidR="006D52E7" w:rsidRPr="00D068A6">
        <w:rPr>
          <w:sz w:val="24"/>
          <w:szCs w:val="24"/>
          <w:lang w:val="es-PE"/>
        </w:rPr>
        <w:lastRenderedPageBreak/>
        <w:t>2009-10</w:t>
      </w:r>
      <w:r w:rsidR="00E164B3" w:rsidRPr="00D068A6">
        <w:rPr>
          <w:sz w:val="24"/>
          <w:szCs w:val="24"/>
          <w:lang w:val="es-PE"/>
        </w:rPr>
        <w:t>,</w:t>
      </w:r>
      <w:r w:rsidR="006D52E7" w:rsidRPr="00D068A6">
        <w:rPr>
          <w:sz w:val="24"/>
          <w:szCs w:val="24"/>
          <w:lang w:val="es-PE"/>
        </w:rPr>
        <w:t xml:space="preserve"> </w:t>
      </w:r>
      <w:r w:rsidR="00BD1EEA" w:rsidRPr="00D068A6">
        <w:rPr>
          <w:sz w:val="24"/>
          <w:szCs w:val="24"/>
          <w:lang w:val="es-PE"/>
        </w:rPr>
        <w:t xml:space="preserve">pero se </w:t>
      </w:r>
      <w:r w:rsidR="00536C0B">
        <w:rPr>
          <w:sz w:val="24"/>
          <w:szCs w:val="24"/>
          <w:lang w:val="es-PE"/>
        </w:rPr>
        <w:t>tornó</w:t>
      </w:r>
      <w:r w:rsidR="00BD1EEA" w:rsidRPr="00D068A6">
        <w:rPr>
          <w:sz w:val="24"/>
          <w:szCs w:val="24"/>
          <w:lang w:val="es-PE"/>
        </w:rPr>
        <w:t xml:space="preserve"> procíclica en</w:t>
      </w:r>
      <w:r w:rsidR="006D52E7" w:rsidRPr="00D068A6">
        <w:rPr>
          <w:sz w:val="24"/>
          <w:szCs w:val="24"/>
          <w:lang w:val="es-PE"/>
        </w:rPr>
        <w:t xml:space="preserve"> 2011-13. </w:t>
      </w:r>
      <w:r w:rsidR="00BD1EEA" w:rsidRPr="00D068A6">
        <w:rPr>
          <w:sz w:val="24"/>
          <w:szCs w:val="24"/>
          <w:lang w:val="es-PE"/>
        </w:rPr>
        <w:t xml:space="preserve">En consecuencia, cuando en 2013 </w:t>
      </w:r>
      <w:r>
        <w:rPr>
          <w:sz w:val="24"/>
          <w:szCs w:val="24"/>
          <w:lang w:val="es-PE"/>
        </w:rPr>
        <w:t xml:space="preserve">se empezaron a sentir </w:t>
      </w:r>
      <w:r w:rsidR="00BD1EEA" w:rsidRPr="00D068A6">
        <w:rPr>
          <w:sz w:val="24"/>
          <w:szCs w:val="24"/>
          <w:lang w:val="es-PE"/>
        </w:rPr>
        <w:t xml:space="preserve">los shocks externos </w:t>
      </w:r>
      <w:r>
        <w:rPr>
          <w:sz w:val="24"/>
          <w:szCs w:val="24"/>
          <w:lang w:val="es-PE"/>
        </w:rPr>
        <w:t xml:space="preserve">producto de la </w:t>
      </w:r>
      <w:r w:rsidR="00BD1EEA" w:rsidRPr="00D068A6">
        <w:rPr>
          <w:sz w:val="24"/>
          <w:szCs w:val="24"/>
          <w:lang w:val="es-PE"/>
        </w:rPr>
        <w:t>disminución de los precios de los productos básicos (“commodities”),</w:t>
      </w:r>
      <w:r>
        <w:rPr>
          <w:sz w:val="24"/>
          <w:szCs w:val="24"/>
          <w:lang w:val="es-PE"/>
        </w:rPr>
        <w:t xml:space="preserve"> </w:t>
      </w:r>
      <w:r w:rsidR="007635E2">
        <w:rPr>
          <w:sz w:val="24"/>
          <w:szCs w:val="24"/>
          <w:lang w:val="es-PE"/>
        </w:rPr>
        <w:t>los</w:t>
      </w:r>
      <w:r>
        <w:rPr>
          <w:sz w:val="24"/>
          <w:szCs w:val="24"/>
          <w:lang w:val="es-PE"/>
        </w:rPr>
        <w:t xml:space="preserve"> sector</w:t>
      </w:r>
      <w:r w:rsidR="007635E2">
        <w:rPr>
          <w:sz w:val="24"/>
          <w:szCs w:val="24"/>
          <w:lang w:val="es-PE"/>
        </w:rPr>
        <w:t>es</w:t>
      </w:r>
      <w:r>
        <w:rPr>
          <w:sz w:val="24"/>
          <w:szCs w:val="24"/>
          <w:lang w:val="es-PE"/>
        </w:rPr>
        <w:t xml:space="preserve"> externo y fiscal de</w:t>
      </w:r>
      <w:r w:rsidR="00BD1EEA" w:rsidRPr="00D068A6">
        <w:rPr>
          <w:sz w:val="24"/>
          <w:szCs w:val="24"/>
          <w:lang w:val="es-PE"/>
        </w:rPr>
        <w:t xml:space="preserve"> la economía chilena se había</w:t>
      </w:r>
      <w:r w:rsidR="007635E2">
        <w:rPr>
          <w:sz w:val="24"/>
          <w:szCs w:val="24"/>
          <w:lang w:val="es-PE"/>
        </w:rPr>
        <w:t>n</w:t>
      </w:r>
      <w:r w:rsidR="00BD1EEA" w:rsidRPr="00D068A6">
        <w:rPr>
          <w:sz w:val="24"/>
          <w:szCs w:val="24"/>
          <w:lang w:val="es-PE"/>
        </w:rPr>
        <w:t xml:space="preserve"> acostumbrado </w:t>
      </w:r>
      <w:r w:rsidR="00BD1EEA" w:rsidRPr="00D80A4D">
        <w:rPr>
          <w:sz w:val="24"/>
          <w:szCs w:val="24"/>
          <w:lang w:val="es-PE"/>
        </w:rPr>
        <w:t xml:space="preserve"> </w:t>
      </w:r>
      <w:r>
        <w:rPr>
          <w:sz w:val="24"/>
          <w:szCs w:val="24"/>
          <w:lang w:val="es-PE"/>
        </w:rPr>
        <w:t xml:space="preserve">a </w:t>
      </w:r>
      <w:r w:rsidR="00BD1EEA" w:rsidRPr="00D80A4D">
        <w:rPr>
          <w:sz w:val="24"/>
          <w:szCs w:val="24"/>
          <w:lang w:val="es-PE"/>
        </w:rPr>
        <w:t xml:space="preserve">precios </w:t>
      </w:r>
      <w:r w:rsidR="00BD1EEA" w:rsidRPr="002729A0">
        <w:rPr>
          <w:sz w:val="24"/>
          <w:szCs w:val="24"/>
          <w:lang w:val="es-PE"/>
        </w:rPr>
        <w:t>insosteniblemente elevados del cobre</w:t>
      </w:r>
      <w:r w:rsidRPr="002729A0">
        <w:rPr>
          <w:sz w:val="24"/>
          <w:szCs w:val="24"/>
          <w:lang w:val="es-PE"/>
        </w:rPr>
        <w:t xml:space="preserve"> </w:t>
      </w:r>
      <w:r w:rsidRPr="00D068A6">
        <w:rPr>
          <w:sz w:val="24"/>
          <w:szCs w:val="24"/>
          <w:lang w:val="es-PE"/>
        </w:rPr>
        <w:t xml:space="preserve">y </w:t>
      </w:r>
      <w:r>
        <w:rPr>
          <w:sz w:val="24"/>
          <w:szCs w:val="24"/>
          <w:lang w:val="es-PE"/>
        </w:rPr>
        <w:t>a un tipo</w:t>
      </w:r>
      <w:r w:rsidRPr="00D068A6">
        <w:rPr>
          <w:sz w:val="24"/>
          <w:szCs w:val="24"/>
          <w:lang w:val="es-PE"/>
        </w:rPr>
        <w:t xml:space="preserve"> de cambio </w:t>
      </w:r>
      <w:r>
        <w:rPr>
          <w:sz w:val="24"/>
          <w:szCs w:val="24"/>
          <w:lang w:val="es-PE"/>
        </w:rPr>
        <w:t xml:space="preserve">que </w:t>
      </w:r>
      <w:r w:rsidRPr="00D068A6">
        <w:rPr>
          <w:sz w:val="24"/>
          <w:szCs w:val="24"/>
          <w:lang w:val="es-PE"/>
        </w:rPr>
        <w:t xml:space="preserve">estaba evidentemente </w:t>
      </w:r>
      <w:r>
        <w:rPr>
          <w:sz w:val="24"/>
          <w:szCs w:val="24"/>
          <w:lang w:val="es-PE"/>
        </w:rPr>
        <w:t>apreciado</w:t>
      </w:r>
      <w:r w:rsidR="00071CFD">
        <w:rPr>
          <w:sz w:val="24"/>
          <w:szCs w:val="24"/>
          <w:lang w:val="es-PE"/>
        </w:rPr>
        <w:t>.</w:t>
      </w:r>
      <w:r w:rsidR="00433205" w:rsidRPr="00D068A6">
        <w:rPr>
          <w:sz w:val="24"/>
          <w:szCs w:val="24"/>
          <w:lang w:val="es-PE"/>
        </w:rPr>
        <w:t xml:space="preserve"> </w:t>
      </w:r>
    </w:p>
    <w:p w14:paraId="284DE2D3" w14:textId="358FA59F" w:rsidR="006D52E7" w:rsidRPr="00D068A6" w:rsidRDefault="00042AED" w:rsidP="00BD1EEA">
      <w:pPr>
        <w:tabs>
          <w:tab w:val="left" w:pos="4962"/>
          <w:tab w:val="left" w:pos="6946"/>
        </w:tabs>
        <w:spacing w:line="360" w:lineRule="auto"/>
        <w:ind w:firstLine="708"/>
        <w:jc w:val="both"/>
        <w:rPr>
          <w:sz w:val="24"/>
          <w:szCs w:val="24"/>
          <w:lang w:val="es-PE"/>
        </w:rPr>
      </w:pPr>
      <w:r>
        <w:rPr>
          <w:sz w:val="24"/>
          <w:szCs w:val="24"/>
          <w:lang w:val="es-PE"/>
        </w:rPr>
        <w:t>L</w:t>
      </w:r>
      <w:r w:rsidR="00BD1EEA" w:rsidRPr="00D068A6">
        <w:rPr>
          <w:sz w:val="24"/>
          <w:szCs w:val="24"/>
          <w:lang w:val="es-PE"/>
        </w:rPr>
        <w:t xml:space="preserve">a sección 1 </w:t>
      </w:r>
      <w:r w:rsidR="00030643">
        <w:rPr>
          <w:sz w:val="24"/>
          <w:szCs w:val="24"/>
          <w:lang w:val="es-PE"/>
        </w:rPr>
        <w:t xml:space="preserve">presenta </w:t>
      </w:r>
      <w:r w:rsidR="00BD1EEA" w:rsidRPr="00D068A6">
        <w:rPr>
          <w:sz w:val="24"/>
          <w:szCs w:val="24"/>
          <w:lang w:val="es-PE"/>
        </w:rPr>
        <w:t xml:space="preserve">un </w:t>
      </w:r>
      <w:r w:rsidR="00030643">
        <w:rPr>
          <w:sz w:val="24"/>
          <w:szCs w:val="24"/>
          <w:lang w:val="es-PE"/>
        </w:rPr>
        <w:t xml:space="preserve">breve </w:t>
      </w:r>
      <w:r w:rsidR="00BD1EEA" w:rsidRPr="00D068A6">
        <w:rPr>
          <w:sz w:val="24"/>
          <w:szCs w:val="24"/>
          <w:lang w:val="es-PE"/>
        </w:rPr>
        <w:t>resumen de las políticas y resultados económicos hasta 2013, examinando con mayor profundidad las políticas fiscal y cambi</w:t>
      </w:r>
      <w:r w:rsidR="00536C0B">
        <w:rPr>
          <w:sz w:val="24"/>
          <w:szCs w:val="24"/>
          <w:lang w:val="es-PE"/>
        </w:rPr>
        <w:t>aria</w:t>
      </w:r>
      <w:r w:rsidR="00BD1EEA" w:rsidRPr="00D068A6">
        <w:rPr>
          <w:sz w:val="24"/>
          <w:szCs w:val="24"/>
          <w:lang w:val="es-PE"/>
        </w:rPr>
        <w:t>, así como el enfoque adoptado respecto del precio del cob</w:t>
      </w:r>
      <w:r w:rsidR="00A3126F" w:rsidRPr="00D068A6">
        <w:rPr>
          <w:sz w:val="24"/>
          <w:szCs w:val="24"/>
          <w:lang w:val="es-PE"/>
        </w:rPr>
        <w:t>re</w:t>
      </w:r>
      <w:r w:rsidR="00A3126F" w:rsidRPr="008D7D95">
        <w:rPr>
          <w:sz w:val="24"/>
          <w:szCs w:val="24"/>
          <w:lang w:val="es-PE"/>
        </w:rPr>
        <w:t xml:space="preserve">, </w:t>
      </w:r>
      <w:r w:rsidR="00BD1EEA" w:rsidRPr="008D7D95">
        <w:rPr>
          <w:sz w:val="24"/>
          <w:szCs w:val="24"/>
          <w:lang w:val="es-PE"/>
        </w:rPr>
        <w:t xml:space="preserve">principal exportación </w:t>
      </w:r>
      <w:r w:rsidR="00A3126F" w:rsidRPr="008D7D95">
        <w:rPr>
          <w:sz w:val="24"/>
          <w:szCs w:val="24"/>
          <w:lang w:val="es-PE"/>
        </w:rPr>
        <w:t>de Chile</w:t>
      </w:r>
      <w:r w:rsidR="006D52E7" w:rsidRPr="00D068A6">
        <w:rPr>
          <w:i/>
          <w:iCs/>
          <w:sz w:val="24"/>
          <w:szCs w:val="24"/>
          <w:lang w:val="es-PE"/>
        </w:rPr>
        <w:t>.</w:t>
      </w:r>
      <w:r w:rsidR="006D52E7" w:rsidRPr="00D068A6">
        <w:rPr>
          <w:sz w:val="24"/>
          <w:szCs w:val="24"/>
          <w:lang w:val="es-PE"/>
        </w:rPr>
        <w:t xml:space="preserve"> </w:t>
      </w:r>
      <w:r w:rsidR="00A3126F" w:rsidRPr="00D068A6">
        <w:rPr>
          <w:sz w:val="24"/>
          <w:szCs w:val="24"/>
          <w:lang w:val="es-PE"/>
        </w:rPr>
        <w:t>Su</w:t>
      </w:r>
      <w:r w:rsidR="00BD1EEA" w:rsidRPr="00D068A6">
        <w:rPr>
          <w:sz w:val="24"/>
          <w:szCs w:val="24"/>
          <w:lang w:val="es-PE"/>
        </w:rPr>
        <w:t xml:space="preserve"> relación </w:t>
      </w:r>
      <w:r w:rsidR="00937DE7" w:rsidRPr="00D068A6">
        <w:rPr>
          <w:sz w:val="24"/>
          <w:szCs w:val="24"/>
          <w:lang w:val="es-PE"/>
        </w:rPr>
        <w:t>con la evolución de los (des)</w:t>
      </w:r>
      <w:r w:rsidR="00BD1EEA" w:rsidRPr="00D068A6">
        <w:rPr>
          <w:sz w:val="24"/>
          <w:szCs w:val="24"/>
          <w:lang w:val="es-PE"/>
        </w:rPr>
        <w:t>equilibrios macroeconómicos reales y los v</w:t>
      </w:r>
      <w:r w:rsidR="00937DE7" w:rsidRPr="00D068A6">
        <w:rPr>
          <w:sz w:val="24"/>
          <w:szCs w:val="24"/>
          <w:lang w:val="es-PE"/>
        </w:rPr>
        <w:t>ínculos con el crecimiento (no)</w:t>
      </w:r>
      <w:r w:rsidR="00BD1EEA" w:rsidRPr="00D068A6">
        <w:rPr>
          <w:sz w:val="24"/>
          <w:szCs w:val="24"/>
          <w:lang w:val="es-PE"/>
        </w:rPr>
        <w:t xml:space="preserve">sostenido son igualmente motivo de examen. La sección 2 </w:t>
      </w:r>
      <w:r w:rsidR="0016016B">
        <w:rPr>
          <w:sz w:val="24"/>
          <w:szCs w:val="24"/>
          <w:lang w:val="es-PE"/>
        </w:rPr>
        <w:t>comienza</w:t>
      </w:r>
      <w:r w:rsidR="00BD1EEA" w:rsidRPr="00D068A6">
        <w:rPr>
          <w:sz w:val="24"/>
          <w:szCs w:val="24"/>
          <w:lang w:val="es-PE"/>
        </w:rPr>
        <w:t xml:space="preserve"> con una evaluación de la situación</w:t>
      </w:r>
      <w:r w:rsidR="006D52E7" w:rsidRPr="00D068A6">
        <w:rPr>
          <w:sz w:val="24"/>
          <w:szCs w:val="24"/>
          <w:lang w:val="es-PE"/>
        </w:rPr>
        <w:t xml:space="preserve"> </w:t>
      </w:r>
      <w:r w:rsidR="00933909">
        <w:rPr>
          <w:sz w:val="24"/>
          <w:szCs w:val="24"/>
          <w:lang w:val="es-PE"/>
        </w:rPr>
        <w:t>en</w:t>
      </w:r>
      <w:r w:rsidR="00BD1EEA" w:rsidRPr="00D068A6">
        <w:rPr>
          <w:sz w:val="24"/>
          <w:szCs w:val="24"/>
          <w:lang w:val="es-PE"/>
        </w:rPr>
        <w:t xml:space="preserve"> </w:t>
      </w:r>
      <w:r w:rsidR="006D52E7" w:rsidRPr="00D068A6">
        <w:rPr>
          <w:sz w:val="24"/>
          <w:szCs w:val="24"/>
          <w:lang w:val="es-PE"/>
        </w:rPr>
        <w:t>2013</w:t>
      </w:r>
      <w:r w:rsidR="00BD1EEA" w:rsidRPr="00D068A6">
        <w:rPr>
          <w:sz w:val="24"/>
          <w:szCs w:val="24"/>
          <w:lang w:val="es-PE"/>
        </w:rPr>
        <w:t xml:space="preserve">, </w:t>
      </w:r>
      <w:r w:rsidR="00536C0B">
        <w:rPr>
          <w:sz w:val="24"/>
          <w:szCs w:val="24"/>
          <w:lang w:val="es-PE"/>
        </w:rPr>
        <w:t>cuando se inici</w:t>
      </w:r>
      <w:r w:rsidR="0016016B">
        <w:rPr>
          <w:sz w:val="24"/>
          <w:szCs w:val="24"/>
          <w:lang w:val="es-PE"/>
        </w:rPr>
        <w:t>ó</w:t>
      </w:r>
      <w:r w:rsidR="00536C0B">
        <w:rPr>
          <w:sz w:val="24"/>
          <w:szCs w:val="24"/>
          <w:lang w:val="es-PE"/>
        </w:rPr>
        <w:t xml:space="preserve"> </w:t>
      </w:r>
      <w:r w:rsidR="00A3126F" w:rsidRPr="00D068A6">
        <w:rPr>
          <w:sz w:val="24"/>
          <w:szCs w:val="24"/>
          <w:lang w:val="es-PE"/>
        </w:rPr>
        <w:t xml:space="preserve">la </w:t>
      </w:r>
      <w:r w:rsidR="00BD1EEA" w:rsidRPr="00D068A6">
        <w:rPr>
          <w:sz w:val="24"/>
          <w:szCs w:val="24"/>
          <w:lang w:val="es-PE"/>
        </w:rPr>
        <w:t>desaceleración</w:t>
      </w:r>
      <w:r w:rsidR="00536C0B">
        <w:rPr>
          <w:sz w:val="24"/>
          <w:szCs w:val="24"/>
          <w:lang w:val="es-PE"/>
        </w:rPr>
        <w:t xml:space="preserve"> de la actividad económica; se ex</w:t>
      </w:r>
      <w:r w:rsidR="0016016B">
        <w:rPr>
          <w:sz w:val="24"/>
          <w:szCs w:val="24"/>
          <w:lang w:val="es-PE"/>
        </w:rPr>
        <w:t>aminan</w:t>
      </w:r>
      <w:r w:rsidR="00BD1EEA" w:rsidRPr="00D068A6">
        <w:rPr>
          <w:sz w:val="24"/>
          <w:szCs w:val="24"/>
          <w:lang w:val="es-PE"/>
        </w:rPr>
        <w:t xml:space="preserve"> </w:t>
      </w:r>
      <w:r w:rsidR="00536C0B">
        <w:rPr>
          <w:sz w:val="24"/>
          <w:szCs w:val="24"/>
          <w:lang w:val="es-PE"/>
        </w:rPr>
        <w:t>graves</w:t>
      </w:r>
      <w:r w:rsidR="00BD1EEA" w:rsidRPr="00D068A6">
        <w:rPr>
          <w:sz w:val="24"/>
          <w:szCs w:val="24"/>
          <w:lang w:val="es-PE"/>
        </w:rPr>
        <w:t xml:space="preserve"> vulnerabilidades generadas en los años previos, y sus vínculos con </w:t>
      </w:r>
      <w:r w:rsidR="0016016B">
        <w:rPr>
          <w:sz w:val="24"/>
          <w:szCs w:val="24"/>
          <w:lang w:val="es-PE"/>
        </w:rPr>
        <w:t>l</w:t>
      </w:r>
      <w:r w:rsidR="00BD1EEA" w:rsidRPr="00D068A6">
        <w:rPr>
          <w:sz w:val="24"/>
          <w:szCs w:val="24"/>
          <w:lang w:val="es-PE"/>
        </w:rPr>
        <w:t xml:space="preserve">a desaceleración en </w:t>
      </w:r>
      <w:r w:rsidR="006D52E7" w:rsidRPr="00D068A6">
        <w:rPr>
          <w:sz w:val="24"/>
          <w:szCs w:val="24"/>
          <w:lang w:val="es-PE"/>
        </w:rPr>
        <w:t>201</w:t>
      </w:r>
      <w:r w:rsidR="007635E2">
        <w:rPr>
          <w:sz w:val="24"/>
          <w:szCs w:val="24"/>
          <w:lang w:val="es-PE"/>
        </w:rPr>
        <w:t>3</w:t>
      </w:r>
      <w:r w:rsidR="006D52E7" w:rsidRPr="00D068A6">
        <w:rPr>
          <w:sz w:val="24"/>
          <w:szCs w:val="24"/>
          <w:lang w:val="es-PE"/>
        </w:rPr>
        <w:t>-16</w:t>
      </w:r>
      <w:r w:rsidR="00A321DC" w:rsidRPr="00D068A6">
        <w:rPr>
          <w:sz w:val="24"/>
          <w:szCs w:val="24"/>
          <w:lang w:val="es-PE"/>
        </w:rPr>
        <w:t>;</w:t>
      </w:r>
      <w:r w:rsidR="006D52E7" w:rsidRPr="00D068A6">
        <w:rPr>
          <w:sz w:val="24"/>
          <w:szCs w:val="24"/>
          <w:lang w:val="es-PE"/>
        </w:rPr>
        <w:t xml:space="preserve"> </w:t>
      </w:r>
      <w:r w:rsidR="00BD1EEA" w:rsidRPr="00D068A6">
        <w:rPr>
          <w:sz w:val="24"/>
          <w:szCs w:val="24"/>
          <w:lang w:val="es-PE"/>
        </w:rPr>
        <w:t xml:space="preserve">luego, se </w:t>
      </w:r>
      <w:r w:rsidR="004D4F42">
        <w:rPr>
          <w:sz w:val="24"/>
          <w:szCs w:val="24"/>
          <w:lang w:val="es-PE"/>
        </w:rPr>
        <w:t>expone</w:t>
      </w:r>
      <w:r w:rsidR="00BD1EEA" w:rsidRPr="00D068A6">
        <w:rPr>
          <w:sz w:val="24"/>
          <w:szCs w:val="24"/>
          <w:lang w:val="es-PE"/>
        </w:rPr>
        <w:t xml:space="preserve"> un panorama general de las políticas económicas </w:t>
      </w:r>
      <w:r w:rsidR="00937DE7" w:rsidRPr="00D068A6">
        <w:rPr>
          <w:sz w:val="24"/>
          <w:szCs w:val="24"/>
          <w:lang w:val="es-PE"/>
        </w:rPr>
        <w:t>desde</w:t>
      </w:r>
      <w:r w:rsidR="006D52E7" w:rsidRPr="00D068A6">
        <w:rPr>
          <w:sz w:val="24"/>
          <w:szCs w:val="24"/>
          <w:lang w:val="es-PE"/>
        </w:rPr>
        <w:t xml:space="preserve"> 2014 </w:t>
      </w:r>
      <w:r w:rsidR="009D0A9B" w:rsidRPr="00D068A6">
        <w:rPr>
          <w:sz w:val="24"/>
          <w:szCs w:val="24"/>
          <w:lang w:val="es-PE"/>
        </w:rPr>
        <w:t xml:space="preserve">hasta mediados de </w:t>
      </w:r>
      <w:r w:rsidR="006D52E7" w:rsidRPr="00D068A6">
        <w:rPr>
          <w:sz w:val="24"/>
          <w:szCs w:val="24"/>
          <w:lang w:val="es-PE"/>
        </w:rPr>
        <w:t xml:space="preserve">2016. </w:t>
      </w:r>
      <w:r w:rsidR="009D0A9B" w:rsidRPr="00D068A6">
        <w:rPr>
          <w:sz w:val="24"/>
          <w:szCs w:val="24"/>
          <w:lang w:val="es-PE"/>
        </w:rPr>
        <w:t>La sección</w:t>
      </w:r>
      <w:r w:rsidR="006D52E7" w:rsidRPr="00D068A6">
        <w:rPr>
          <w:sz w:val="24"/>
          <w:szCs w:val="24"/>
          <w:lang w:val="es-PE"/>
        </w:rPr>
        <w:t xml:space="preserve"> 3 </w:t>
      </w:r>
      <w:r w:rsidR="009D0A9B" w:rsidRPr="00D068A6">
        <w:rPr>
          <w:sz w:val="24"/>
          <w:szCs w:val="24"/>
          <w:lang w:val="es-PE"/>
        </w:rPr>
        <w:t xml:space="preserve">se concentra en la evolución del sector externo, particularmente de las exportaciones, la formación de capital y la inversión extranjera directa. La sección 4 </w:t>
      </w:r>
      <w:r w:rsidR="00937DE7" w:rsidRPr="00D068A6">
        <w:rPr>
          <w:sz w:val="24"/>
          <w:szCs w:val="24"/>
          <w:lang w:val="es-PE"/>
        </w:rPr>
        <w:t>presenta</w:t>
      </w:r>
      <w:r w:rsidR="009D0A9B" w:rsidRPr="00D068A6">
        <w:rPr>
          <w:sz w:val="24"/>
          <w:szCs w:val="24"/>
          <w:lang w:val="es-PE"/>
        </w:rPr>
        <w:t xml:space="preserve"> lecciones de política</w:t>
      </w:r>
      <w:r w:rsidR="00937DE7" w:rsidRPr="00D068A6">
        <w:rPr>
          <w:sz w:val="24"/>
          <w:szCs w:val="24"/>
          <w:lang w:val="es-PE"/>
        </w:rPr>
        <w:t>s</w:t>
      </w:r>
      <w:r w:rsidR="009D0A9B" w:rsidRPr="00D068A6">
        <w:rPr>
          <w:sz w:val="24"/>
          <w:szCs w:val="24"/>
          <w:lang w:val="es-PE"/>
        </w:rPr>
        <w:t xml:space="preserve"> para recuperar </w:t>
      </w:r>
      <w:r w:rsidR="0016016B">
        <w:rPr>
          <w:sz w:val="24"/>
          <w:szCs w:val="24"/>
          <w:lang w:val="es-PE"/>
        </w:rPr>
        <w:t>un</w:t>
      </w:r>
      <w:r w:rsidR="009D0A9B" w:rsidRPr="00D068A6">
        <w:rPr>
          <w:sz w:val="24"/>
          <w:szCs w:val="24"/>
          <w:lang w:val="es-PE"/>
        </w:rPr>
        <w:t xml:space="preserve"> crecimiento económico sostenido</w:t>
      </w:r>
      <w:r w:rsidR="006D52E7" w:rsidRPr="00D068A6">
        <w:rPr>
          <w:sz w:val="24"/>
          <w:szCs w:val="24"/>
          <w:lang w:val="es-PE"/>
        </w:rPr>
        <w:t xml:space="preserve">. </w:t>
      </w:r>
    </w:p>
    <w:p w14:paraId="56DB144B" w14:textId="77777777" w:rsidR="009721BD" w:rsidRPr="00D068A6" w:rsidRDefault="009721BD" w:rsidP="009721BD">
      <w:pPr>
        <w:pStyle w:val="Prrafodelista"/>
        <w:spacing w:line="360" w:lineRule="auto"/>
        <w:ind w:left="1068"/>
        <w:jc w:val="both"/>
        <w:rPr>
          <w:b/>
          <w:sz w:val="28"/>
          <w:szCs w:val="28"/>
          <w:lang w:val="es-PE"/>
        </w:rPr>
      </w:pPr>
    </w:p>
    <w:p w14:paraId="5476EECA" w14:textId="317078B7" w:rsidR="00877F9B" w:rsidRPr="00D068A6" w:rsidRDefault="009D0A9B" w:rsidP="00877F9B">
      <w:pPr>
        <w:pStyle w:val="Prrafodelista"/>
        <w:numPr>
          <w:ilvl w:val="0"/>
          <w:numId w:val="1"/>
        </w:numPr>
        <w:spacing w:line="360" w:lineRule="auto"/>
        <w:jc w:val="both"/>
        <w:rPr>
          <w:b/>
          <w:sz w:val="28"/>
          <w:szCs w:val="28"/>
          <w:lang w:val="es-PE"/>
        </w:rPr>
      </w:pPr>
      <w:r w:rsidRPr="00D068A6">
        <w:rPr>
          <w:b/>
          <w:sz w:val="28"/>
          <w:szCs w:val="28"/>
          <w:lang w:val="es-PE"/>
        </w:rPr>
        <w:t>El auge de los productos básicos y la recuperación con dos sesgos pro</w:t>
      </w:r>
      <w:r w:rsidR="00D576E0">
        <w:rPr>
          <w:b/>
          <w:sz w:val="28"/>
          <w:szCs w:val="28"/>
          <w:lang w:val="es-PE"/>
        </w:rPr>
        <w:t>-</w:t>
      </w:r>
      <w:r w:rsidRPr="00D068A6">
        <w:rPr>
          <w:b/>
          <w:sz w:val="28"/>
          <w:szCs w:val="28"/>
          <w:lang w:val="es-PE"/>
        </w:rPr>
        <w:t>cíclicos</w:t>
      </w:r>
      <w:r w:rsidR="00877F9B" w:rsidRPr="00D068A6">
        <w:rPr>
          <w:b/>
          <w:sz w:val="28"/>
          <w:szCs w:val="28"/>
          <w:lang w:val="es-PE"/>
        </w:rPr>
        <w:t>, 1999-2013</w:t>
      </w:r>
    </w:p>
    <w:p w14:paraId="3B0E906E" w14:textId="3D0A1CD3" w:rsidR="00D33842" w:rsidRPr="00D068A6" w:rsidRDefault="009D0A9B" w:rsidP="00D33842">
      <w:pPr>
        <w:spacing w:line="360" w:lineRule="auto"/>
        <w:jc w:val="both"/>
        <w:rPr>
          <w:sz w:val="24"/>
          <w:szCs w:val="24"/>
          <w:lang w:val="es-PE"/>
        </w:rPr>
      </w:pPr>
      <w:r w:rsidRPr="00D068A6">
        <w:rPr>
          <w:sz w:val="24"/>
          <w:szCs w:val="24"/>
          <w:lang w:val="es-PE"/>
        </w:rPr>
        <w:t xml:space="preserve">A  fines de los años 1990, las políticas macroeconómicas en Chile sufrieron un </w:t>
      </w:r>
      <w:r w:rsidR="00030643">
        <w:rPr>
          <w:sz w:val="24"/>
          <w:szCs w:val="24"/>
          <w:lang w:val="es-PE"/>
        </w:rPr>
        <w:t xml:space="preserve">cambio </w:t>
      </w:r>
      <w:r w:rsidRPr="00D068A6">
        <w:rPr>
          <w:sz w:val="24"/>
          <w:szCs w:val="24"/>
          <w:lang w:val="es-PE"/>
        </w:rPr>
        <w:t xml:space="preserve">profundo respecto del enfoque que se adoptó inmediatamente después </w:t>
      </w:r>
      <w:r w:rsidR="00937DE7" w:rsidRPr="00D068A6">
        <w:rPr>
          <w:sz w:val="24"/>
          <w:szCs w:val="24"/>
          <w:lang w:val="es-PE"/>
        </w:rPr>
        <w:t>de la restauración</w:t>
      </w:r>
      <w:r w:rsidRPr="00D068A6">
        <w:rPr>
          <w:sz w:val="24"/>
          <w:szCs w:val="24"/>
          <w:lang w:val="es-PE"/>
        </w:rPr>
        <w:t xml:space="preserve"> de la democracia en 1990</w:t>
      </w:r>
      <w:r w:rsidR="00877F9B" w:rsidRPr="00D068A6">
        <w:rPr>
          <w:sz w:val="24"/>
          <w:szCs w:val="24"/>
          <w:lang w:val="es-PE"/>
        </w:rPr>
        <w:t>.</w:t>
      </w:r>
      <w:r w:rsidR="00877F9B" w:rsidRPr="00D068A6">
        <w:rPr>
          <w:rStyle w:val="Refdenotaalpie"/>
          <w:sz w:val="24"/>
          <w:szCs w:val="24"/>
          <w:lang w:val="es-PE"/>
        </w:rPr>
        <w:footnoteReference w:id="2"/>
      </w:r>
      <w:r w:rsidR="00877F9B" w:rsidRPr="00D068A6">
        <w:rPr>
          <w:sz w:val="24"/>
          <w:szCs w:val="24"/>
          <w:lang w:val="es-PE"/>
        </w:rPr>
        <w:t xml:space="preserve"> </w:t>
      </w:r>
      <w:r w:rsidRPr="00D068A6">
        <w:rPr>
          <w:sz w:val="24"/>
          <w:szCs w:val="24"/>
          <w:lang w:val="es-PE"/>
        </w:rPr>
        <w:t>En setiembre de</w:t>
      </w:r>
      <w:r w:rsidR="00877F9B" w:rsidRPr="00D068A6">
        <w:rPr>
          <w:sz w:val="24"/>
          <w:szCs w:val="24"/>
          <w:lang w:val="es-PE"/>
        </w:rPr>
        <w:t xml:space="preserve"> 1999, </w:t>
      </w:r>
      <w:r w:rsidR="00937DE7" w:rsidRPr="00D068A6">
        <w:rPr>
          <w:sz w:val="24"/>
          <w:szCs w:val="24"/>
          <w:lang w:val="es-PE"/>
        </w:rPr>
        <w:t>en medio del contagio</w:t>
      </w:r>
      <w:r w:rsidRPr="00D068A6">
        <w:rPr>
          <w:sz w:val="24"/>
          <w:szCs w:val="24"/>
          <w:lang w:val="es-PE"/>
        </w:rPr>
        <w:t xml:space="preserve"> de la crisis asiática, el Banco Central renunció a la flexibili</w:t>
      </w:r>
      <w:r w:rsidR="00C37236">
        <w:rPr>
          <w:sz w:val="24"/>
          <w:szCs w:val="24"/>
          <w:lang w:val="es-PE"/>
        </w:rPr>
        <w:t>dad</w:t>
      </w:r>
      <w:r w:rsidRPr="00D068A6">
        <w:rPr>
          <w:sz w:val="24"/>
          <w:szCs w:val="24"/>
          <w:lang w:val="es-PE"/>
        </w:rPr>
        <w:t xml:space="preserve"> administrada de</w:t>
      </w:r>
      <w:r w:rsidR="00C37236">
        <w:rPr>
          <w:sz w:val="24"/>
          <w:szCs w:val="24"/>
          <w:lang w:val="es-PE"/>
        </w:rPr>
        <w:t>l</w:t>
      </w:r>
      <w:r w:rsidRPr="00D068A6">
        <w:rPr>
          <w:sz w:val="24"/>
          <w:szCs w:val="24"/>
          <w:lang w:val="es-PE"/>
        </w:rPr>
        <w:t xml:space="preserve"> </w:t>
      </w:r>
      <w:r w:rsidR="00C37236">
        <w:rPr>
          <w:sz w:val="24"/>
          <w:szCs w:val="24"/>
          <w:lang w:val="es-PE"/>
        </w:rPr>
        <w:t>tipo</w:t>
      </w:r>
      <w:r w:rsidRPr="00D068A6">
        <w:rPr>
          <w:sz w:val="24"/>
          <w:szCs w:val="24"/>
          <w:lang w:val="es-PE"/>
        </w:rPr>
        <w:t xml:space="preserve"> de cambio y adoptó </w:t>
      </w:r>
      <w:r w:rsidR="008D7D95">
        <w:rPr>
          <w:sz w:val="24"/>
          <w:szCs w:val="24"/>
          <w:lang w:val="es-PE"/>
        </w:rPr>
        <w:t>un régi</w:t>
      </w:r>
      <w:r w:rsidR="00030643">
        <w:rPr>
          <w:sz w:val="24"/>
          <w:szCs w:val="24"/>
          <w:lang w:val="es-PE"/>
        </w:rPr>
        <w:t>men de flotación libre</w:t>
      </w:r>
      <w:r w:rsidR="007635E2">
        <w:rPr>
          <w:sz w:val="24"/>
          <w:szCs w:val="24"/>
          <w:lang w:val="es-PE"/>
        </w:rPr>
        <w:t xml:space="preserve"> de toda intervención</w:t>
      </w:r>
      <w:r w:rsidR="00030643">
        <w:rPr>
          <w:sz w:val="24"/>
          <w:szCs w:val="24"/>
          <w:lang w:val="es-PE"/>
        </w:rPr>
        <w:t xml:space="preserve"> </w:t>
      </w:r>
      <w:r w:rsidRPr="00D068A6">
        <w:rPr>
          <w:sz w:val="24"/>
          <w:szCs w:val="24"/>
          <w:lang w:val="es-PE"/>
        </w:rPr>
        <w:t xml:space="preserve">junto con la plena liberalización de la cuenta de capitales, </w:t>
      </w:r>
      <w:r w:rsidR="00937DE7" w:rsidRPr="00D068A6">
        <w:rPr>
          <w:sz w:val="24"/>
          <w:szCs w:val="24"/>
          <w:lang w:val="es-PE"/>
        </w:rPr>
        <w:t xml:space="preserve">al tiempo que adoptaba </w:t>
      </w:r>
      <w:r w:rsidR="00C37236">
        <w:rPr>
          <w:sz w:val="24"/>
          <w:szCs w:val="24"/>
          <w:lang w:val="es-PE"/>
        </w:rPr>
        <w:t>el enfoque</w:t>
      </w:r>
      <w:r w:rsidRPr="00D068A6">
        <w:rPr>
          <w:sz w:val="24"/>
          <w:szCs w:val="24"/>
          <w:lang w:val="es-PE"/>
        </w:rPr>
        <w:t xml:space="preserve"> de metas de inflación </w:t>
      </w:r>
      <w:r w:rsidR="00C37236">
        <w:rPr>
          <w:sz w:val="24"/>
          <w:szCs w:val="24"/>
          <w:lang w:val="es-PE"/>
        </w:rPr>
        <w:t>como</w:t>
      </w:r>
      <w:r w:rsidRPr="00D068A6">
        <w:rPr>
          <w:sz w:val="24"/>
          <w:szCs w:val="24"/>
          <w:lang w:val="es-PE"/>
        </w:rPr>
        <w:t xml:space="preserve"> </w:t>
      </w:r>
      <w:r w:rsidR="004B7C92">
        <w:rPr>
          <w:sz w:val="24"/>
          <w:szCs w:val="24"/>
          <w:lang w:val="es-PE"/>
        </w:rPr>
        <w:t xml:space="preserve">principal </w:t>
      </w:r>
      <w:r w:rsidRPr="00D068A6">
        <w:rPr>
          <w:sz w:val="24"/>
          <w:szCs w:val="24"/>
          <w:lang w:val="es-PE"/>
        </w:rPr>
        <w:t>objetivo macroeconómico</w:t>
      </w:r>
      <w:r w:rsidR="00877F9B" w:rsidRPr="00D068A6">
        <w:rPr>
          <w:sz w:val="24"/>
          <w:szCs w:val="24"/>
          <w:lang w:val="es-PE"/>
        </w:rPr>
        <w:t xml:space="preserve">. </w:t>
      </w:r>
      <w:r w:rsidR="00DA0C82" w:rsidRPr="00D068A6">
        <w:rPr>
          <w:sz w:val="24"/>
          <w:szCs w:val="24"/>
          <w:lang w:val="es-PE"/>
        </w:rPr>
        <w:t xml:space="preserve">Todo ello, junto con la dependencia de las exportaciones de cobre </w:t>
      </w:r>
      <w:r w:rsidR="004B7C92">
        <w:rPr>
          <w:sz w:val="24"/>
          <w:szCs w:val="24"/>
          <w:lang w:val="es-PE"/>
        </w:rPr>
        <w:t xml:space="preserve">por la inestabilidad de sus </w:t>
      </w:r>
      <w:r w:rsidR="00DA0C82" w:rsidRPr="00D068A6">
        <w:rPr>
          <w:sz w:val="24"/>
          <w:szCs w:val="24"/>
          <w:lang w:val="es-PE"/>
        </w:rPr>
        <w:t xml:space="preserve">precios, fueron factores determinantes del persistente </w:t>
      </w:r>
      <w:r w:rsidR="004B7C92">
        <w:rPr>
          <w:sz w:val="24"/>
          <w:szCs w:val="24"/>
          <w:lang w:val="es-PE"/>
        </w:rPr>
        <w:t>desequilibrio del</w:t>
      </w:r>
      <w:r w:rsidR="00DA0C82" w:rsidRPr="00D068A6">
        <w:rPr>
          <w:sz w:val="24"/>
          <w:szCs w:val="24"/>
          <w:lang w:val="es-PE"/>
        </w:rPr>
        <w:t xml:space="preserve"> </w:t>
      </w:r>
      <w:r w:rsidR="004B7C92" w:rsidRPr="00D068A6">
        <w:rPr>
          <w:sz w:val="24"/>
          <w:szCs w:val="24"/>
          <w:lang w:val="es-PE"/>
        </w:rPr>
        <w:lastRenderedPageBreak/>
        <w:t>t</w:t>
      </w:r>
      <w:r w:rsidR="004B7C92">
        <w:rPr>
          <w:sz w:val="24"/>
          <w:szCs w:val="24"/>
          <w:lang w:val="es-PE"/>
        </w:rPr>
        <w:t>ipo</w:t>
      </w:r>
      <w:r w:rsidR="004B7C92" w:rsidRPr="00D068A6">
        <w:rPr>
          <w:sz w:val="24"/>
          <w:szCs w:val="24"/>
          <w:lang w:val="es-PE"/>
        </w:rPr>
        <w:t xml:space="preserve"> </w:t>
      </w:r>
      <w:r w:rsidR="00DA0C82" w:rsidRPr="00D068A6">
        <w:rPr>
          <w:sz w:val="24"/>
          <w:szCs w:val="24"/>
          <w:lang w:val="es-PE"/>
        </w:rPr>
        <w:t xml:space="preserve">de cambio </w:t>
      </w:r>
      <w:r w:rsidR="007635E2">
        <w:rPr>
          <w:sz w:val="24"/>
          <w:szCs w:val="24"/>
          <w:lang w:val="es-PE"/>
        </w:rPr>
        <w:t xml:space="preserve">real (TCR) </w:t>
      </w:r>
      <w:r w:rsidR="00DA0C82" w:rsidRPr="00D068A6">
        <w:rPr>
          <w:sz w:val="24"/>
          <w:szCs w:val="24"/>
          <w:lang w:val="es-PE"/>
        </w:rPr>
        <w:t>y de la</w:t>
      </w:r>
      <w:r w:rsidR="00C37236">
        <w:rPr>
          <w:sz w:val="24"/>
          <w:szCs w:val="24"/>
          <w:lang w:val="es-PE"/>
        </w:rPr>
        <w:t xml:space="preserve"> presencia de</w:t>
      </w:r>
      <w:r w:rsidR="00DA0C82" w:rsidRPr="00D068A6">
        <w:rPr>
          <w:sz w:val="24"/>
          <w:szCs w:val="24"/>
          <w:lang w:val="es-PE"/>
        </w:rPr>
        <w:t xml:space="preserve"> brechas recesivas </w:t>
      </w:r>
      <w:r w:rsidR="00C37236">
        <w:rPr>
          <w:sz w:val="24"/>
          <w:szCs w:val="24"/>
          <w:lang w:val="es-PE"/>
        </w:rPr>
        <w:t xml:space="preserve">(brechas entre PBI potencial y PBI efectivo) </w:t>
      </w:r>
      <w:r w:rsidR="00DA0C82" w:rsidRPr="00D068A6">
        <w:rPr>
          <w:sz w:val="24"/>
          <w:szCs w:val="24"/>
          <w:lang w:val="es-PE"/>
        </w:rPr>
        <w:t>a partir de</w:t>
      </w:r>
      <w:r w:rsidR="00877F9B" w:rsidRPr="00D068A6">
        <w:rPr>
          <w:sz w:val="24"/>
          <w:szCs w:val="24"/>
          <w:lang w:val="es-PE"/>
        </w:rPr>
        <w:t xml:space="preserve"> 1999.</w:t>
      </w:r>
      <w:r w:rsidR="00877F9B" w:rsidRPr="00D068A6">
        <w:rPr>
          <w:rStyle w:val="Refdenotaalpie"/>
          <w:sz w:val="24"/>
          <w:szCs w:val="24"/>
          <w:lang w:val="es-PE"/>
        </w:rPr>
        <w:footnoteReference w:id="3"/>
      </w:r>
      <w:r w:rsidR="00877F9B" w:rsidRPr="00D068A6">
        <w:rPr>
          <w:sz w:val="24"/>
          <w:szCs w:val="24"/>
          <w:lang w:val="es-PE"/>
        </w:rPr>
        <w:t xml:space="preserve"> </w:t>
      </w:r>
    </w:p>
    <w:p w14:paraId="1373063C" w14:textId="09BC68CF" w:rsidR="00877F9B" w:rsidRPr="00D068A6" w:rsidRDefault="00DA0C82" w:rsidP="00D33842">
      <w:pPr>
        <w:spacing w:line="360" w:lineRule="auto"/>
        <w:ind w:firstLine="708"/>
        <w:jc w:val="both"/>
        <w:rPr>
          <w:sz w:val="24"/>
          <w:szCs w:val="24"/>
          <w:lang w:val="es-PE"/>
        </w:rPr>
      </w:pPr>
      <w:r w:rsidRPr="00D068A6">
        <w:rPr>
          <w:snapToGrid w:val="0"/>
          <w:sz w:val="24"/>
          <w:szCs w:val="24"/>
          <w:lang w:val="es-PE"/>
        </w:rPr>
        <w:t>En otro frente</w:t>
      </w:r>
      <w:r w:rsidR="00571045">
        <w:rPr>
          <w:snapToGrid w:val="0"/>
          <w:sz w:val="24"/>
          <w:szCs w:val="24"/>
          <w:lang w:val="es-PE"/>
        </w:rPr>
        <w:t xml:space="preserve"> de la política económica</w:t>
      </w:r>
      <w:r w:rsidRPr="00D068A6">
        <w:rPr>
          <w:snapToGrid w:val="0"/>
          <w:sz w:val="24"/>
          <w:szCs w:val="24"/>
          <w:lang w:val="es-PE"/>
        </w:rPr>
        <w:t>, para abordar el descalce en situaciones reces</w:t>
      </w:r>
      <w:r w:rsidR="00937DE7" w:rsidRPr="00D068A6">
        <w:rPr>
          <w:snapToGrid w:val="0"/>
          <w:sz w:val="24"/>
          <w:szCs w:val="24"/>
          <w:lang w:val="es-PE"/>
        </w:rPr>
        <w:t>i</w:t>
      </w:r>
      <w:r w:rsidR="00933909">
        <w:rPr>
          <w:snapToGrid w:val="0"/>
          <w:sz w:val="24"/>
          <w:szCs w:val="24"/>
          <w:lang w:val="es-PE"/>
        </w:rPr>
        <w:t>vas</w:t>
      </w:r>
      <w:r w:rsidRPr="00D068A6">
        <w:rPr>
          <w:snapToGrid w:val="0"/>
          <w:sz w:val="24"/>
          <w:szCs w:val="24"/>
          <w:lang w:val="es-PE"/>
        </w:rPr>
        <w:t xml:space="preserve"> entre los recursos públicos requeridos para los programas sociales y los ingresos fiscales te</w:t>
      </w:r>
      <w:r w:rsidR="00937DE7" w:rsidRPr="00D068A6">
        <w:rPr>
          <w:snapToGrid w:val="0"/>
          <w:sz w:val="24"/>
          <w:szCs w:val="24"/>
          <w:lang w:val="es-PE"/>
        </w:rPr>
        <w:t>mporalmente deprimidos, en 2001</w:t>
      </w:r>
      <w:r w:rsidRPr="00D068A6">
        <w:rPr>
          <w:snapToGrid w:val="0"/>
          <w:sz w:val="24"/>
          <w:szCs w:val="24"/>
          <w:lang w:val="es-PE"/>
        </w:rPr>
        <w:t xml:space="preserve"> se implementó una política de </w:t>
      </w:r>
      <w:r w:rsidR="00C37236">
        <w:rPr>
          <w:snapToGrid w:val="0"/>
          <w:sz w:val="24"/>
          <w:szCs w:val="24"/>
          <w:lang w:val="es-PE"/>
        </w:rPr>
        <w:t>balance</w:t>
      </w:r>
      <w:r w:rsidRPr="00D068A6">
        <w:rPr>
          <w:snapToGrid w:val="0"/>
          <w:sz w:val="24"/>
          <w:szCs w:val="24"/>
          <w:lang w:val="es-PE"/>
        </w:rPr>
        <w:t xml:space="preserve"> fiscal </w:t>
      </w:r>
      <w:r w:rsidRPr="00D068A6">
        <w:rPr>
          <w:i/>
          <w:snapToGrid w:val="0"/>
          <w:sz w:val="24"/>
          <w:szCs w:val="24"/>
          <w:lang w:val="es-PE"/>
        </w:rPr>
        <w:t>estructural</w:t>
      </w:r>
      <w:r w:rsidRPr="00D068A6">
        <w:rPr>
          <w:snapToGrid w:val="0"/>
          <w:sz w:val="24"/>
          <w:szCs w:val="24"/>
          <w:lang w:val="es-PE"/>
        </w:rPr>
        <w:t xml:space="preserve"> </w:t>
      </w:r>
      <w:r w:rsidR="00877F9B" w:rsidRPr="00D068A6">
        <w:rPr>
          <w:snapToGrid w:val="0"/>
          <w:sz w:val="24"/>
          <w:szCs w:val="24"/>
          <w:lang w:val="es-PE"/>
        </w:rPr>
        <w:t>(</w:t>
      </w:r>
      <w:r w:rsidR="00C37236">
        <w:rPr>
          <w:snapToGrid w:val="0"/>
          <w:sz w:val="24"/>
          <w:szCs w:val="24"/>
          <w:lang w:val="es-PE"/>
        </w:rPr>
        <w:t>B</w:t>
      </w:r>
      <w:r w:rsidRPr="00D068A6">
        <w:rPr>
          <w:snapToGrid w:val="0"/>
          <w:sz w:val="24"/>
          <w:szCs w:val="24"/>
          <w:lang w:val="es-PE"/>
        </w:rPr>
        <w:t>FE</w:t>
      </w:r>
      <w:r w:rsidR="007506E1">
        <w:rPr>
          <w:snapToGrid w:val="0"/>
          <w:sz w:val="24"/>
          <w:szCs w:val="24"/>
          <w:lang w:val="es-PE"/>
        </w:rPr>
        <w:t xml:space="preserve">; </w:t>
      </w:r>
      <w:r w:rsidR="00877F9B" w:rsidRPr="00D068A6">
        <w:rPr>
          <w:snapToGrid w:val="0"/>
          <w:sz w:val="24"/>
          <w:szCs w:val="24"/>
          <w:lang w:val="es-PE"/>
        </w:rPr>
        <w:t>Ffrench-Davis, 2016</w:t>
      </w:r>
      <w:r w:rsidR="00C37236">
        <w:rPr>
          <w:snapToGrid w:val="0"/>
          <w:sz w:val="24"/>
          <w:szCs w:val="24"/>
          <w:lang w:val="es-PE"/>
        </w:rPr>
        <w:t>a</w:t>
      </w:r>
      <w:r w:rsidR="00877F9B" w:rsidRPr="00D068A6">
        <w:rPr>
          <w:snapToGrid w:val="0"/>
          <w:sz w:val="24"/>
          <w:szCs w:val="24"/>
          <w:lang w:val="es-PE"/>
        </w:rPr>
        <w:t xml:space="preserve">). </w:t>
      </w:r>
      <w:r w:rsidRPr="00D068A6">
        <w:rPr>
          <w:snapToGrid w:val="0"/>
          <w:sz w:val="24"/>
          <w:szCs w:val="24"/>
          <w:lang w:val="es-PE"/>
        </w:rPr>
        <w:t>Ello implicó mantener un nivel de gasto consistente con la evolución de los ingresos fiscales sosteni</w:t>
      </w:r>
      <w:r w:rsidR="00C37236">
        <w:rPr>
          <w:snapToGrid w:val="0"/>
          <w:sz w:val="24"/>
          <w:szCs w:val="24"/>
          <w:lang w:val="es-PE"/>
        </w:rPr>
        <w:t>ble</w:t>
      </w:r>
      <w:r w:rsidRPr="00D068A6">
        <w:rPr>
          <w:snapToGrid w:val="0"/>
          <w:sz w:val="24"/>
          <w:szCs w:val="24"/>
          <w:lang w:val="es-PE"/>
        </w:rPr>
        <w:t xml:space="preserve">s a mediano plazo </w:t>
      </w:r>
      <w:r w:rsidR="001F0BD0">
        <w:rPr>
          <w:snapToGrid w:val="0"/>
          <w:sz w:val="24"/>
          <w:szCs w:val="24"/>
          <w:lang w:val="es-PE"/>
        </w:rPr>
        <w:t xml:space="preserve">utilizando </w:t>
      </w:r>
      <w:r w:rsidRPr="00D068A6">
        <w:rPr>
          <w:snapToGrid w:val="0"/>
          <w:sz w:val="24"/>
          <w:szCs w:val="24"/>
          <w:lang w:val="es-PE"/>
        </w:rPr>
        <w:t>estimaciones del PBI y  del precio de cobre</w:t>
      </w:r>
      <w:r w:rsidR="006F2C69">
        <w:rPr>
          <w:snapToGrid w:val="0"/>
          <w:sz w:val="24"/>
          <w:szCs w:val="24"/>
          <w:lang w:val="es-PE"/>
        </w:rPr>
        <w:t xml:space="preserve"> tendenciales</w:t>
      </w:r>
      <w:r w:rsidRPr="00D068A6">
        <w:rPr>
          <w:snapToGrid w:val="0"/>
          <w:sz w:val="24"/>
          <w:szCs w:val="24"/>
          <w:lang w:val="es-PE"/>
        </w:rPr>
        <w:t xml:space="preserve">. Esta regla fiscal constituyó un avance respecto de la norma </w:t>
      </w:r>
      <w:r w:rsidR="00AA7C4B" w:rsidRPr="00D068A6">
        <w:rPr>
          <w:snapToGrid w:val="0"/>
          <w:sz w:val="24"/>
          <w:szCs w:val="24"/>
          <w:lang w:val="es-PE"/>
        </w:rPr>
        <w:t>tradicional pro</w:t>
      </w:r>
      <w:r w:rsidR="00D576E0">
        <w:rPr>
          <w:snapToGrid w:val="0"/>
          <w:sz w:val="24"/>
          <w:szCs w:val="24"/>
          <w:lang w:val="es-PE"/>
        </w:rPr>
        <w:t>-</w:t>
      </w:r>
      <w:r w:rsidR="00AA7C4B" w:rsidRPr="00D068A6">
        <w:rPr>
          <w:snapToGrid w:val="0"/>
          <w:sz w:val="24"/>
          <w:szCs w:val="24"/>
          <w:lang w:val="es-PE"/>
        </w:rPr>
        <w:t xml:space="preserve">cíclica </w:t>
      </w:r>
      <w:r w:rsidR="00AA7C4B" w:rsidRPr="00571045">
        <w:rPr>
          <w:snapToGrid w:val="0"/>
          <w:sz w:val="24"/>
          <w:szCs w:val="24"/>
          <w:lang w:val="es-PE"/>
        </w:rPr>
        <w:t xml:space="preserve">de </w:t>
      </w:r>
      <w:r w:rsidR="00937DE7" w:rsidRPr="00571045">
        <w:rPr>
          <w:snapToGrid w:val="0"/>
          <w:sz w:val="24"/>
          <w:szCs w:val="24"/>
          <w:lang w:val="es-PE"/>
        </w:rPr>
        <w:t>equilibrar</w:t>
      </w:r>
      <w:r w:rsidR="00AA7C4B" w:rsidRPr="00571045">
        <w:rPr>
          <w:snapToGrid w:val="0"/>
          <w:sz w:val="24"/>
          <w:szCs w:val="24"/>
          <w:lang w:val="es-PE"/>
        </w:rPr>
        <w:t xml:space="preserve"> el presupuesto fiscal </w:t>
      </w:r>
      <w:r w:rsidR="00877F9B" w:rsidRPr="00571045">
        <w:rPr>
          <w:snapToGrid w:val="0"/>
          <w:sz w:val="24"/>
          <w:szCs w:val="24"/>
          <w:lang w:val="es-PE"/>
        </w:rPr>
        <w:t xml:space="preserve"> </w:t>
      </w:r>
      <w:r w:rsidR="00AA7C4B" w:rsidRPr="00381F49">
        <w:rPr>
          <w:snapToGrid w:val="0"/>
          <w:sz w:val="24"/>
          <w:szCs w:val="24"/>
          <w:lang w:val="es-PE"/>
        </w:rPr>
        <w:t>anual</w:t>
      </w:r>
      <w:r w:rsidR="00AA7C4B" w:rsidRPr="009F33C3">
        <w:rPr>
          <w:snapToGrid w:val="0"/>
          <w:sz w:val="24"/>
          <w:szCs w:val="24"/>
          <w:lang w:val="es-PE"/>
        </w:rPr>
        <w:t>mente</w:t>
      </w:r>
      <w:r w:rsidR="00571045">
        <w:rPr>
          <w:snapToGrid w:val="0"/>
          <w:sz w:val="24"/>
          <w:szCs w:val="24"/>
          <w:lang w:val="es-PE"/>
        </w:rPr>
        <w:t>,</w:t>
      </w:r>
      <w:r w:rsidR="00AA7C4B" w:rsidRPr="00D068A6">
        <w:rPr>
          <w:snapToGrid w:val="0"/>
          <w:sz w:val="24"/>
          <w:szCs w:val="24"/>
          <w:lang w:val="es-PE"/>
        </w:rPr>
        <w:t xml:space="preserve"> pero </w:t>
      </w:r>
      <w:r w:rsidR="006F2C69">
        <w:rPr>
          <w:snapToGrid w:val="0"/>
          <w:sz w:val="24"/>
          <w:szCs w:val="24"/>
          <w:lang w:val="es-PE"/>
        </w:rPr>
        <w:t xml:space="preserve">se </w:t>
      </w:r>
      <w:r w:rsidR="00AA7C4B" w:rsidRPr="00D068A6">
        <w:rPr>
          <w:snapToGrid w:val="0"/>
          <w:sz w:val="24"/>
          <w:szCs w:val="24"/>
          <w:lang w:val="es-PE"/>
        </w:rPr>
        <w:t xml:space="preserve">detuvo </w:t>
      </w:r>
      <w:r w:rsidR="006F2C69">
        <w:rPr>
          <w:snapToGrid w:val="0"/>
          <w:sz w:val="24"/>
          <w:szCs w:val="24"/>
          <w:lang w:val="es-PE"/>
        </w:rPr>
        <w:t xml:space="preserve">en </w:t>
      </w:r>
      <w:r w:rsidR="00AA7C4B" w:rsidRPr="00D068A6">
        <w:rPr>
          <w:snapToGrid w:val="0"/>
          <w:sz w:val="24"/>
          <w:szCs w:val="24"/>
          <w:lang w:val="es-PE"/>
        </w:rPr>
        <w:t>la n</w:t>
      </w:r>
      <w:r w:rsidR="005F64C2" w:rsidRPr="00D068A6">
        <w:rPr>
          <w:snapToGrid w:val="0"/>
          <w:sz w:val="24"/>
          <w:szCs w:val="24"/>
          <w:lang w:val="es-PE"/>
        </w:rPr>
        <w:t>e</w:t>
      </w:r>
      <w:r w:rsidR="00AA7C4B" w:rsidRPr="00D068A6">
        <w:rPr>
          <w:snapToGrid w:val="0"/>
          <w:sz w:val="24"/>
          <w:szCs w:val="24"/>
          <w:lang w:val="es-PE"/>
        </w:rPr>
        <w:t xml:space="preserve">utralidad </w:t>
      </w:r>
      <w:r w:rsidR="006F2C69">
        <w:rPr>
          <w:snapToGrid w:val="0"/>
          <w:sz w:val="24"/>
          <w:szCs w:val="24"/>
          <w:lang w:val="es-PE"/>
        </w:rPr>
        <w:t>sin avanzar  hacia</w:t>
      </w:r>
      <w:r w:rsidR="00AA7C4B" w:rsidRPr="00D068A6">
        <w:rPr>
          <w:snapToGrid w:val="0"/>
          <w:sz w:val="24"/>
          <w:szCs w:val="24"/>
          <w:lang w:val="es-PE"/>
        </w:rPr>
        <w:t xml:space="preserve"> la contra</w:t>
      </w:r>
      <w:r w:rsidR="00D576E0">
        <w:rPr>
          <w:snapToGrid w:val="0"/>
          <w:sz w:val="24"/>
          <w:szCs w:val="24"/>
          <w:lang w:val="es-PE"/>
        </w:rPr>
        <w:t>-</w:t>
      </w:r>
      <w:r w:rsidR="00AA7C4B" w:rsidRPr="00D068A6">
        <w:rPr>
          <w:snapToGrid w:val="0"/>
          <w:sz w:val="24"/>
          <w:szCs w:val="24"/>
          <w:lang w:val="es-PE"/>
        </w:rPr>
        <w:t xml:space="preserve">ciclicidad. Sólo a finales de 2008 y por un </w:t>
      </w:r>
      <w:r w:rsidR="006F2C69">
        <w:rPr>
          <w:snapToGrid w:val="0"/>
          <w:sz w:val="24"/>
          <w:szCs w:val="24"/>
          <w:lang w:val="es-PE"/>
        </w:rPr>
        <w:t>breve</w:t>
      </w:r>
      <w:r w:rsidR="00AA7C4B" w:rsidRPr="00D068A6">
        <w:rPr>
          <w:snapToGrid w:val="0"/>
          <w:sz w:val="24"/>
          <w:szCs w:val="24"/>
          <w:lang w:val="es-PE"/>
        </w:rPr>
        <w:t xml:space="preserve"> período, la política fiscal </w:t>
      </w:r>
      <w:r w:rsidR="006F2C69">
        <w:rPr>
          <w:snapToGrid w:val="0"/>
          <w:sz w:val="24"/>
          <w:szCs w:val="24"/>
          <w:lang w:val="es-PE"/>
        </w:rPr>
        <w:t>implement</w:t>
      </w:r>
      <w:r w:rsidR="001F0BD0">
        <w:rPr>
          <w:snapToGrid w:val="0"/>
          <w:sz w:val="24"/>
          <w:szCs w:val="24"/>
          <w:lang w:val="es-PE"/>
        </w:rPr>
        <w:t xml:space="preserve">ó </w:t>
      </w:r>
      <w:r w:rsidR="00AA7C4B" w:rsidRPr="00D068A6">
        <w:rPr>
          <w:snapToGrid w:val="0"/>
          <w:sz w:val="24"/>
          <w:szCs w:val="24"/>
          <w:lang w:val="es-PE"/>
        </w:rPr>
        <w:t>ajustes contra</w:t>
      </w:r>
      <w:r w:rsidR="00D576E0">
        <w:rPr>
          <w:snapToGrid w:val="0"/>
          <w:sz w:val="24"/>
          <w:szCs w:val="24"/>
          <w:lang w:val="es-PE"/>
        </w:rPr>
        <w:t>-</w:t>
      </w:r>
      <w:r w:rsidR="00AA7C4B" w:rsidRPr="00D068A6">
        <w:rPr>
          <w:snapToGrid w:val="0"/>
          <w:sz w:val="24"/>
          <w:szCs w:val="24"/>
          <w:lang w:val="es-PE"/>
        </w:rPr>
        <w:t xml:space="preserve">cíclicos del gasto público y </w:t>
      </w:r>
      <w:r w:rsidR="0011226F">
        <w:rPr>
          <w:snapToGrid w:val="0"/>
          <w:sz w:val="24"/>
          <w:szCs w:val="24"/>
          <w:lang w:val="es-PE"/>
        </w:rPr>
        <w:t xml:space="preserve">los impuestos </w:t>
      </w:r>
      <w:r w:rsidR="00AA7C4B" w:rsidRPr="00D068A6">
        <w:rPr>
          <w:snapToGrid w:val="0"/>
          <w:sz w:val="24"/>
          <w:szCs w:val="24"/>
          <w:lang w:val="es-PE"/>
        </w:rPr>
        <w:t xml:space="preserve">cuando la economía entró en recesión debido al contagio de la crisis global. Sin embargo, </w:t>
      </w:r>
      <w:r w:rsidR="00BB78A5" w:rsidRPr="00D068A6">
        <w:rPr>
          <w:snapToGrid w:val="0"/>
          <w:sz w:val="24"/>
          <w:szCs w:val="24"/>
          <w:lang w:val="es-PE"/>
        </w:rPr>
        <w:t>p</w:t>
      </w:r>
      <w:r w:rsidR="00AA7C4B" w:rsidRPr="00D068A6">
        <w:rPr>
          <w:snapToGrid w:val="0"/>
          <w:sz w:val="24"/>
          <w:szCs w:val="24"/>
          <w:lang w:val="es-PE"/>
        </w:rPr>
        <w:t>osteriormente adoptó un enfoque pro</w:t>
      </w:r>
      <w:r w:rsidR="00D576E0">
        <w:rPr>
          <w:snapToGrid w:val="0"/>
          <w:sz w:val="24"/>
          <w:szCs w:val="24"/>
          <w:lang w:val="es-PE"/>
        </w:rPr>
        <w:t>-</w:t>
      </w:r>
      <w:r w:rsidR="00AA7C4B" w:rsidRPr="00D068A6">
        <w:rPr>
          <w:snapToGrid w:val="0"/>
          <w:sz w:val="24"/>
          <w:szCs w:val="24"/>
          <w:lang w:val="es-PE"/>
        </w:rPr>
        <w:t>cíclico</w:t>
      </w:r>
      <w:r w:rsidR="00877F9B" w:rsidRPr="00D068A6">
        <w:rPr>
          <w:sz w:val="24"/>
          <w:szCs w:val="24"/>
          <w:lang w:val="es-PE"/>
        </w:rPr>
        <w:t xml:space="preserve">. </w:t>
      </w:r>
    </w:p>
    <w:p w14:paraId="3EC2D622" w14:textId="77777777" w:rsidR="00877F9B" w:rsidRPr="00D068A6" w:rsidRDefault="00877F9B" w:rsidP="00877F9B">
      <w:pPr>
        <w:spacing w:line="360" w:lineRule="auto"/>
        <w:ind w:firstLine="709"/>
        <w:jc w:val="both"/>
        <w:rPr>
          <w:sz w:val="24"/>
          <w:szCs w:val="24"/>
          <w:lang w:val="es-PE"/>
        </w:rPr>
      </w:pPr>
    </w:p>
    <w:p w14:paraId="539DA1E1" w14:textId="69125BB5" w:rsidR="00877F9B" w:rsidRPr="00D068A6" w:rsidRDefault="005F64C2" w:rsidP="00877F9B">
      <w:pPr>
        <w:pStyle w:val="Prrafodelista"/>
        <w:numPr>
          <w:ilvl w:val="0"/>
          <w:numId w:val="2"/>
        </w:numPr>
        <w:jc w:val="both"/>
        <w:rPr>
          <w:i/>
          <w:sz w:val="28"/>
          <w:szCs w:val="28"/>
          <w:lang w:val="es-PE"/>
        </w:rPr>
      </w:pPr>
      <w:r w:rsidRPr="00D068A6">
        <w:rPr>
          <w:i/>
          <w:sz w:val="28"/>
          <w:szCs w:val="28"/>
          <w:lang w:val="es-PE"/>
        </w:rPr>
        <w:t>Desempeño económico general</w:t>
      </w:r>
    </w:p>
    <w:p w14:paraId="6158122C" w14:textId="77777777" w:rsidR="00877F9B" w:rsidRPr="00D068A6" w:rsidRDefault="00877F9B" w:rsidP="00877F9B">
      <w:pPr>
        <w:pStyle w:val="Prrafodelista"/>
        <w:jc w:val="both"/>
        <w:rPr>
          <w:i/>
          <w:sz w:val="28"/>
          <w:szCs w:val="28"/>
          <w:lang w:val="es-PE"/>
        </w:rPr>
      </w:pPr>
    </w:p>
    <w:p w14:paraId="0ABE0F3C" w14:textId="39C739B5" w:rsidR="00877F9B" w:rsidRPr="00D068A6" w:rsidRDefault="005F64C2" w:rsidP="00877F9B">
      <w:pPr>
        <w:spacing w:line="360" w:lineRule="auto"/>
        <w:ind w:firstLine="709"/>
        <w:jc w:val="both"/>
        <w:rPr>
          <w:sz w:val="24"/>
          <w:szCs w:val="24"/>
          <w:lang w:val="es-PE"/>
        </w:rPr>
      </w:pPr>
      <w:r w:rsidRPr="00D068A6">
        <w:rPr>
          <w:sz w:val="24"/>
          <w:szCs w:val="24"/>
          <w:lang w:val="es-PE"/>
        </w:rPr>
        <w:t>Entre</w:t>
      </w:r>
      <w:r w:rsidR="00877F9B" w:rsidRPr="00D068A6">
        <w:rPr>
          <w:sz w:val="24"/>
          <w:szCs w:val="24"/>
          <w:lang w:val="es-PE"/>
        </w:rPr>
        <w:t xml:space="preserve"> 1999 </w:t>
      </w:r>
      <w:r w:rsidRPr="00D068A6">
        <w:rPr>
          <w:sz w:val="24"/>
          <w:szCs w:val="24"/>
          <w:lang w:val="es-PE"/>
        </w:rPr>
        <w:t>y</w:t>
      </w:r>
      <w:r w:rsidR="00877F9B" w:rsidRPr="00D068A6">
        <w:rPr>
          <w:sz w:val="24"/>
          <w:szCs w:val="24"/>
          <w:lang w:val="es-PE"/>
        </w:rPr>
        <w:t xml:space="preserve"> 2013, </w:t>
      </w:r>
      <w:r w:rsidR="00943FB0" w:rsidRPr="00D068A6">
        <w:rPr>
          <w:sz w:val="24"/>
          <w:szCs w:val="24"/>
          <w:lang w:val="es-PE"/>
        </w:rPr>
        <w:t xml:space="preserve">la economía chilena </w:t>
      </w:r>
      <w:r w:rsidR="00DC6CC0" w:rsidRPr="00D068A6">
        <w:rPr>
          <w:sz w:val="24"/>
          <w:szCs w:val="24"/>
          <w:lang w:val="es-PE"/>
        </w:rPr>
        <w:t>pasó por un</w:t>
      </w:r>
      <w:r w:rsidR="00943FB0" w:rsidRPr="00D068A6">
        <w:rPr>
          <w:sz w:val="24"/>
          <w:szCs w:val="24"/>
          <w:lang w:val="es-PE"/>
        </w:rPr>
        <w:t xml:space="preserve"> fuerte ciclo económic</w:t>
      </w:r>
      <w:r w:rsidR="0011226F">
        <w:rPr>
          <w:sz w:val="24"/>
          <w:szCs w:val="24"/>
          <w:lang w:val="es-PE"/>
        </w:rPr>
        <w:t>199</w:t>
      </w:r>
      <w:r w:rsidR="00943FB0" w:rsidRPr="00D068A6">
        <w:rPr>
          <w:sz w:val="24"/>
          <w:szCs w:val="24"/>
          <w:lang w:val="es-PE"/>
        </w:rPr>
        <w:t>o, que incluyó una larga recesión entre</w:t>
      </w:r>
      <w:r w:rsidR="00877F9B" w:rsidRPr="00D068A6">
        <w:rPr>
          <w:sz w:val="24"/>
          <w:szCs w:val="24"/>
          <w:lang w:val="es-PE"/>
        </w:rPr>
        <w:t xml:space="preserve"> 1999-2003 </w:t>
      </w:r>
      <w:r w:rsidR="00943FB0" w:rsidRPr="00D068A6">
        <w:rPr>
          <w:sz w:val="24"/>
          <w:szCs w:val="24"/>
          <w:lang w:val="es-PE"/>
        </w:rPr>
        <w:t xml:space="preserve">y una </w:t>
      </w:r>
      <w:r w:rsidR="00DC6CC0" w:rsidRPr="00D068A6">
        <w:rPr>
          <w:sz w:val="24"/>
          <w:szCs w:val="24"/>
          <w:lang w:val="es-PE"/>
        </w:rPr>
        <w:t>fuerte</w:t>
      </w:r>
      <w:r w:rsidR="00943FB0" w:rsidRPr="00D068A6">
        <w:rPr>
          <w:sz w:val="24"/>
          <w:szCs w:val="24"/>
          <w:lang w:val="es-PE"/>
        </w:rPr>
        <w:t xml:space="preserve"> recuperación impulsada por </w:t>
      </w:r>
      <w:r w:rsidR="00571045">
        <w:rPr>
          <w:sz w:val="24"/>
          <w:szCs w:val="24"/>
          <w:lang w:val="es-PE"/>
        </w:rPr>
        <w:t>el</w:t>
      </w:r>
      <w:r w:rsidR="0011226F">
        <w:rPr>
          <w:sz w:val="24"/>
          <w:szCs w:val="24"/>
          <w:lang w:val="es-PE"/>
        </w:rPr>
        <w:t xml:space="preserve"> significativo </w:t>
      </w:r>
      <w:r w:rsidR="0011226F" w:rsidRPr="00973704">
        <w:rPr>
          <w:i/>
          <w:sz w:val="24"/>
          <w:szCs w:val="24"/>
          <w:lang w:val="es-PE"/>
        </w:rPr>
        <w:t>boom</w:t>
      </w:r>
      <w:r w:rsidR="00943FB0" w:rsidRPr="00D068A6">
        <w:rPr>
          <w:sz w:val="24"/>
          <w:szCs w:val="24"/>
          <w:lang w:val="es-PE"/>
        </w:rPr>
        <w:t xml:space="preserve"> de los precios de los productos básicos que se inició en 2003</w:t>
      </w:r>
      <w:r w:rsidR="00571045">
        <w:rPr>
          <w:sz w:val="24"/>
          <w:szCs w:val="24"/>
          <w:lang w:val="es-PE"/>
        </w:rPr>
        <w:t>.</w:t>
      </w:r>
      <w:r w:rsidR="00877F9B" w:rsidRPr="00D068A6">
        <w:rPr>
          <w:sz w:val="24"/>
          <w:szCs w:val="24"/>
          <w:lang w:val="es-PE"/>
        </w:rPr>
        <w:t xml:space="preserve"> </w:t>
      </w:r>
    </w:p>
    <w:p w14:paraId="385B1DD4" w14:textId="67FA0451" w:rsidR="00877F9B" w:rsidRPr="00D068A6" w:rsidRDefault="00943FB0" w:rsidP="00F13C34">
      <w:pPr>
        <w:pStyle w:val="Sangradetextonormal"/>
        <w:tabs>
          <w:tab w:val="left" w:pos="4111"/>
        </w:tabs>
        <w:spacing w:line="360" w:lineRule="auto"/>
        <w:ind w:left="0" w:firstLine="720"/>
        <w:rPr>
          <w:lang w:val="es-PE"/>
        </w:rPr>
      </w:pPr>
      <w:r w:rsidRPr="00D068A6">
        <w:rPr>
          <w:lang w:val="es-PE"/>
        </w:rPr>
        <w:t xml:space="preserve">El auge de los productos básicos, particularmente el rápido aumento del precio del cobre, encontró en 2003 una economía que había </w:t>
      </w:r>
      <w:r w:rsidR="00DC6CC0" w:rsidRPr="00D068A6">
        <w:rPr>
          <w:lang w:val="es-PE"/>
        </w:rPr>
        <w:t>atravesado</w:t>
      </w:r>
      <w:r w:rsidRPr="00D068A6">
        <w:rPr>
          <w:lang w:val="es-PE"/>
        </w:rPr>
        <w:t xml:space="preserve"> una larga recesión</w:t>
      </w:r>
      <w:r w:rsidR="00571045">
        <w:rPr>
          <w:lang w:val="es-PE"/>
        </w:rPr>
        <w:t>, con una  significativa brecha recesiva (BR, entre PIB potencial y efectivo)</w:t>
      </w:r>
      <w:r w:rsidRPr="00D068A6">
        <w:rPr>
          <w:lang w:val="es-PE"/>
        </w:rPr>
        <w:t xml:space="preserve">. Después de nueve años </w:t>
      </w:r>
      <w:r w:rsidR="00DC6CC0" w:rsidRPr="00D068A6">
        <w:rPr>
          <w:lang w:val="es-PE"/>
        </w:rPr>
        <w:t>durante los que el PBI</w:t>
      </w:r>
      <w:r w:rsidRPr="00D068A6">
        <w:rPr>
          <w:lang w:val="es-PE"/>
        </w:rPr>
        <w:t xml:space="preserve"> </w:t>
      </w:r>
      <w:r w:rsidR="00DC6CC0" w:rsidRPr="00D068A6">
        <w:rPr>
          <w:lang w:val="es-PE"/>
        </w:rPr>
        <w:t>creció</w:t>
      </w:r>
      <w:r w:rsidRPr="00D068A6">
        <w:rPr>
          <w:lang w:val="es-PE"/>
        </w:rPr>
        <w:t xml:space="preserve"> 7.1%</w:t>
      </w:r>
      <w:r w:rsidR="00DC6CC0" w:rsidRPr="00D068A6">
        <w:rPr>
          <w:lang w:val="es-PE"/>
        </w:rPr>
        <w:t xml:space="preserve"> en promedio</w:t>
      </w:r>
      <w:r w:rsidRPr="00D068A6">
        <w:rPr>
          <w:lang w:val="es-PE"/>
        </w:rPr>
        <w:t xml:space="preserve"> en</w:t>
      </w:r>
      <w:r w:rsidR="00877F9B" w:rsidRPr="00D068A6">
        <w:rPr>
          <w:lang w:val="es-PE"/>
        </w:rPr>
        <w:t xml:space="preserve"> 1990-98, </w:t>
      </w:r>
      <w:r w:rsidRPr="00D068A6">
        <w:rPr>
          <w:lang w:val="es-PE"/>
        </w:rPr>
        <w:t xml:space="preserve">durante cinco años el crecimiento </w:t>
      </w:r>
      <w:r w:rsidR="00DC6CC0" w:rsidRPr="00D068A6">
        <w:rPr>
          <w:lang w:val="es-PE"/>
        </w:rPr>
        <w:t>cayó</w:t>
      </w:r>
      <w:r w:rsidRPr="00D068A6">
        <w:rPr>
          <w:lang w:val="es-PE"/>
        </w:rPr>
        <w:t xml:space="preserve"> a</w:t>
      </w:r>
      <w:r w:rsidR="00877F9B" w:rsidRPr="00D068A6">
        <w:rPr>
          <w:lang w:val="es-PE"/>
        </w:rPr>
        <w:t xml:space="preserve"> 2</w:t>
      </w:r>
      <w:r w:rsidR="00357368">
        <w:rPr>
          <w:lang w:val="es-PE"/>
        </w:rPr>
        <w:t>,</w:t>
      </w:r>
      <w:r w:rsidR="00877F9B" w:rsidRPr="00D068A6">
        <w:rPr>
          <w:lang w:val="es-PE"/>
        </w:rPr>
        <w:t>6%</w:t>
      </w:r>
      <w:r w:rsidRPr="00D068A6">
        <w:rPr>
          <w:lang w:val="es-PE"/>
        </w:rPr>
        <w:t xml:space="preserve">, </w:t>
      </w:r>
      <w:r w:rsidR="006F2C69">
        <w:rPr>
          <w:lang w:val="es-PE"/>
        </w:rPr>
        <w:t>bajo una</w:t>
      </w:r>
      <w:r w:rsidRPr="00D068A6">
        <w:rPr>
          <w:lang w:val="es-PE"/>
        </w:rPr>
        <w:t xml:space="preserve"> demanda</w:t>
      </w:r>
      <w:r w:rsidR="006F2C69">
        <w:rPr>
          <w:lang w:val="es-PE"/>
        </w:rPr>
        <w:t xml:space="preserve"> deprimida</w:t>
      </w:r>
      <w:r w:rsidRPr="00D068A6">
        <w:rPr>
          <w:lang w:val="es-PE"/>
        </w:rPr>
        <w:t xml:space="preserve"> </w:t>
      </w:r>
      <w:r w:rsidR="006F2C69">
        <w:rPr>
          <w:lang w:val="es-PE"/>
        </w:rPr>
        <w:t>qu</w:t>
      </w:r>
      <w:r w:rsidR="00DC6CC0" w:rsidRPr="00D068A6">
        <w:rPr>
          <w:lang w:val="es-PE"/>
        </w:rPr>
        <w:t>e hizo caer el</w:t>
      </w:r>
      <w:r w:rsidRPr="00D068A6">
        <w:rPr>
          <w:lang w:val="es-PE"/>
        </w:rPr>
        <w:t xml:space="preserve"> producto</w:t>
      </w:r>
      <w:r w:rsidR="006F2C69">
        <w:rPr>
          <w:lang w:val="es-PE"/>
        </w:rPr>
        <w:t xml:space="preserve"> efectivo</w:t>
      </w:r>
      <w:r w:rsidRPr="00D068A6">
        <w:rPr>
          <w:lang w:val="es-PE"/>
        </w:rPr>
        <w:t xml:space="preserve"> por debajo del PBI potencial</w:t>
      </w:r>
      <w:r w:rsidR="00877F9B" w:rsidRPr="00D068A6">
        <w:rPr>
          <w:lang w:val="es-PE"/>
        </w:rPr>
        <w:t xml:space="preserve"> (</w:t>
      </w:r>
      <w:r w:rsidRPr="00D068A6">
        <w:rPr>
          <w:lang w:val="es-PE"/>
        </w:rPr>
        <w:t>PBI</w:t>
      </w:r>
      <w:r w:rsidR="00877F9B" w:rsidRPr="00D068A6">
        <w:rPr>
          <w:lang w:val="es-PE"/>
        </w:rPr>
        <w:t xml:space="preserve">*). </w:t>
      </w:r>
      <w:r w:rsidRPr="00D068A6">
        <w:rPr>
          <w:lang w:val="es-PE"/>
        </w:rPr>
        <w:t>Esta brecha recesiva fue consecuencia de una restricción externa fija que pre</w:t>
      </w:r>
      <w:r w:rsidR="00DC6CC0" w:rsidRPr="00D068A6">
        <w:rPr>
          <w:lang w:val="es-PE"/>
        </w:rPr>
        <w:t>valeci</w:t>
      </w:r>
      <w:r w:rsidRPr="00D068A6">
        <w:rPr>
          <w:lang w:val="es-PE"/>
        </w:rPr>
        <w:t xml:space="preserve">ó por </w:t>
      </w:r>
      <w:r w:rsidR="00DC6CC0" w:rsidRPr="00D068A6">
        <w:rPr>
          <w:lang w:val="es-PE"/>
        </w:rPr>
        <w:t>encima de</w:t>
      </w:r>
      <w:r w:rsidRPr="00D068A6">
        <w:rPr>
          <w:lang w:val="es-PE"/>
        </w:rPr>
        <w:t xml:space="preserve"> las políticas </w:t>
      </w:r>
      <w:r w:rsidR="00DC6CC0" w:rsidRPr="00D068A6">
        <w:rPr>
          <w:lang w:val="es-PE"/>
        </w:rPr>
        <w:t xml:space="preserve">fiscales y monetarias </w:t>
      </w:r>
      <w:r w:rsidRPr="00D068A6">
        <w:rPr>
          <w:lang w:val="es-PE"/>
        </w:rPr>
        <w:t xml:space="preserve">más bien neutrales en un entorno de </w:t>
      </w:r>
      <w:r w:rsidRPr="00D068A6">
        <w:rPr>
          <w:i/>
          <w:lang w:val="es-PE"/>
        </w:rPr>
        <w:t>metas de inflación</w:t>
      </w:r>
      <w:r w:rsidR="00D53F14">
        <w:rPr>
          <w:lang w:val="es-PE"/>
        </w:rPr>
        <w:t xml:space="preserve"> dominantes.</w:t>
      </w:r>
      <w:r w:rsidRPr="00D068A6">
        <w:rPr>
          <w:lang w:val="es-PE"/>
        </w:rPr>
        <w:t xml:space="preserve"> Debido a la gran brecha de producto </w:t>
      </w:r>
      <w:r w:rsidR="00450F00" w:rsidRPr="00D068A6">
        <w:rPr>
          <w:lang w:val="es-PE"/>
        </w:rPr>
        <w:t>al momento d</w:t>
      </w:r>
      <w:r w:rsidRPr="00D068A6">
        <w:rPr>
          <w:lang w:val="es-PE"/>
        </w:rPr>
        <w:t>el shock externo positivo inici</w:t>
      </w:r>
      <w:r w:rsidR="00D53F14">
        <w:rPr>
          <w:lang w:val="es-PE"/>
        </w:rPr>
        <w:t>ado</w:t>
      </w:r>
      <w:r w:rsidRPr="00D068A6">
        <w:rPr>
          <w:lang w:val="es-PE"/>
        </w:rPr>
        <w:t xml:space="preserve"> en</w:t>
      </w:r>
      <w:r w:rsidR="00877F9B" w:rsidRPr="00D068A6">
        <w:rPr>
          <w:lang w:val="es-PE"/>
        </w:rPr>
        <w:t xml:space="preserve"> 2003,</w:t>
      </w:r>
      <w:r w:rsidRPr="00D068A6">
        <w:rPr>
          <w:lang w:val="es-PE"/>
        </w:rPr>
        <w:t xml:space="preserve"> la oferta interna pudo responder con un incremento del PBI </w:t>
      </w:r>
      <w:r w:rsidR="00D53F14">
        <w:rPr>
          <w:lang w:val="es-PE"/>
        </w:rPr>
        <w:t>efectivo</w:t>
      </w:r>
      <w:r w:rsidRPr="00D068A6">
        <w:rPr>
          <w:lang w:val="es-PE"/>
        </w:rPr>
        <w:t xml:space="preserve"> y baja presión inflacionaria (la inflación </w:t>
      </w:r>
      <w:r w:rsidRPr="00D068A6">
        <w:rPr>
          <w:lang w:val="es-PE"/>
        </w:rPr>
        <w:lastRenderedPageBreak/>
        <w:t xml:space="preserve">permaneció por debajo </w:t>
      </w:r>
      <w:r w:rsidR="00450F00" w:rsidRPr="00D068A6">
        <w:rPr>
          <w:lang w:val="es-PE"/>
        </w:rPr>
        <w:t xml:space="preserve">del </w:t>
      </w:r>
      <w:r w:rsidR="00D53F14">
        <w:rPr>
          <w:lang w:val="es-PE"/>
        </w:rPr>
        <w:t>centro</w:t>
      </w:r>
      <w:r w:rsidR="00571045">
        <w:rPr>
          <w:lang w:val="es-PE"/>
        </w:rPr>
        <w:t xml:space="preserve"> de</w:t>
      </w:r>
      <w:r w:rsidR="00450F00" w:rsidRPr="00D068A6">
        <w:rPr>
          <w:lang w:val="es-PE"/>
        </w:rPr>
        <w:t xml:space="preserve"> la band</w:t>
      </w:r>
      <w:r w:rsidRPr="00D068A6">
        <w:rPr>
          <w:lang w:val="es-PE"/>
        </w:rPr>
        <w:t>a de</w:t>
      </w:r>
      <w:r w:rsidR="00877F9B" w:rsidRPr="00D068A6">
        <w:rPr>
          <w:lang w:val="es-PE"/>
        </w:rPr>
        <w:t xml:space="preserve"> 2-4% </w:t>
      </w:r>
      <w:r w:rsidR="00450F00" w:rsidRPr="00D068A6">
        <w:rPr>
          <w:lang w:val="es-PE"/>
        </w:rPr>
        <w:t xml:space="preserve">establecida </w:t>
      </w:r>
      <w:r w:rsidRPr="00D068A6">
        <w:rPr>
          <w:lang w:val="es-PE"/>
        </w:rPr>
        <w:t>por el Banco Central</w:t>
      </w:r>
      <w:r w:rsidR="00D53F14">
        <w:rPr>
          <w:lang w:val="es-PE"/>
        </w:rPr>
        <w:t xml:space="preserve"> autónomo</w:t>
      </w:r>
      <w:r w:rsidRPr="00D068A6">
        <w:rPr>
          <w:lang w:val="es-PE"/>
        </w:rPr>
        <w:t xml:space="preserve">). Por consiguiente, el shock exógeno </w:t>
      </w:r>
      <w:r w:rsidR="00450F00" w:rsidRPr="00D068A6">
        <w:rPr>
          <w:lang w:val="es-PE"/>
        </w:rPr>
        <w:t>contribuyó a un salt</w:t>
      </w:r>
      <w:r w:rsidR="00F13C34" w:rsidRPr="00D068A6">
        <w:rPr>
          <w:lang w:val="es-PE"/>
        </w:rPr>
        <w:t>o importante de</w:t>
      </w:r>
      <w:r w:rsidR="00450F00" w:rsidRPr="00D068A6">
        <w:rPr>
          <w:lang w:val="es-PE"/>
        </w:rPr>
        <w:t xml:space="preserve">l crecimiento del PBI </w:t>
      </w:r>
      <w:r w:rsidR="00D53F14">
        <w:rPr>
          <w:lang w:val="es-PE"/>
        </w:rPr>
        <w:t xml:space="preserve">efectivo  </w:t>
      </w:r>
      <w:r w:rsidR="00450F00" w:rsidRPr="00D068A6">
        <w:rPr>
          <w:lang w:val="es-PE"/>
        </w:rPr>
        <w:t>de 2,6% en 1999-2003</w:t>
      </w:r>
      <w:r w:rsidR="00F13C34" w:rsidRPr="00D068A6">
        <w:rPr>
          <w:lang w:val="es-PE"/>
        </w:rPr>
        <w:t xml:space="preserve"> a </w:t>
      </w:r>
      <w:r w:rsidR="00D53F14">
        <w:rPr>
          <w:lang w:val="es-PE"/>
        </w:rPr>
        <w:t xml:space="preserve">6% en 2004 y a </w:t>
      </w:r>
      <w:r w:rsidR="00F13C34" w:rsidRPr="00D068A6">
        <w:rPr>
          <w:lang w:val="es-PE"/>
        </w:rPr>
        <w:t>5,6% en 2004-07</w:t>
      </w:r>
      <w:r w:rsidR="007127DF">
        <w:rPr>
          <w:lang w:val="es-PE"/>
        </w:rPr>
        <w:t xml:space="preserve">. Este salto ocurrió </w:t>
      </w:r>
      <w:r w:rsidR="00F13C34" w:rsidRPr="00D068A6">
        <w:rPr>
          <w:lang w:val="es-PE"/>
        </w:rPr>
        <w:t xml:space="preserve">sin </w:t>
      </w:r>
      <w:r w:rsidR="00450F00" w:rsidRPr="00D068A6">
        <w:rPr>
          <w:lang w:val="es-PE"/>
        </w:rPr>
        <w:t xml:space="preserve">realizar </w:t>
      </w:r>
      <w:r w:rsidR="00F13C34" w:rsidRPr="00D068A6">
        <w:rPr>
          <w:lang w:val="es-PE"/>
        </w:rPr>
        <w:t xml:space="preserve">ninguna reforma significativa de las políticas macroeconómicas o microeconómicas </w:t>
      </w:r>
      <w:r w:rsidR="00450F00" w:rsidRPr="00D068A6">
        <w:rPr>
          <w:lang w:val="es-PE"/>
        </w:rPr>
        <w:t>internas</w:t>
      </w:r>
      <w:r w:rsidR="007127DF">
        <w:rPr>
          <w:lang w:val="es-PE"/>
        </w:rPr>
        <w:t xml:space="preserve">, confirmando </w:t>
      </w:r>
      <w:r w:rsidR="00F13C34" w:rsidRPr="00D068A6">
        <w:rPr>
          <w:lang w:val="es-PE"/>
        </w:rPr>
        <w:t>las debilidades macroeconómicas previas</w:t>
      </w:r>
      <w:r w:rsidR="00877F9B" w:rsidRPr="00D068A6">
        <w:rPr>
          <w:lang w:val="es-PE"/>
        </w:rPr>
        <w:t>.</w:t>
      </w:r>
      <w:r w:rsidR="00877F9B" w:rsidRPr="00D068A6">
        <w:rPr>
          <w:rStyle w:val="Refdenotaalpie"/>
          <w:lang w:val="es-PE"/>
        </w:rPr>
        <w:footnoteReference w:id="4"/>
      </w:r>
      <w:r w:rsidR="00877F9B" w:rsidRPr="00D068A6">
        <w:rPr>
          <w:lang w:val="es-PE"/>
        </w:rPr>
        <w:t xml:space="preserve"> </w:t>
      </w:r>
    </w:p>
    <w:p w14:paraId="1A942E3A" w14:textId="46092C47" w:rsidR="00877F9B" w:rsidRPr="00D068A6" w:rsidRDefault="00F13C34" w:rsidP="00885685">
      <w:pPr>
        <w:spacing w:line="360" w:lineRule="auto"/>
        <w:ind w:firstLine="708"/>
        <w:jc w:val="both"/>
        <w:rPr>
          <w:sz w:val="24"/>
          <w:szCs w:val="24"/>
          <w:lang w:val="es-PE"/>
        </w:rPr>
      </w:pPr>
      <w:r w:rsidRPr="00D068A6">
        <w:rPr>
          <w:sz w:val="24"/>
          <w:szCs w:val="24"/>
          <w:lang w:val="es-PE"/>
        </w:rPr>
        <w:t>La recuperación prosiguió gradualmente de manera que, a principios de 2008, antes de que se iniciase el contagio de la crisis global, se había reducido la brecha recesiva, si bien no</w:t>
      </w:r>
      <w:r w:rsidR="00D53F14">
        <w:rPr>
          <w:sz w:val="24"/>
          <w:szCs w:val="24"/>
          <w:lang w:val="es-PE"/>
        </w:rPr>
        <w:t xml:space="preserve"> se</w:t>
      </w:r>
      <w:r w:rsidRPr="00D068A6">
        <w:rPr>
          <w:sz w:val="24"/>
          <w:szCs w:val="24"/>
          <w:lang w:val="es-PE"/>
        </w:rPr>
        <w:t xml:space="preserve"> había eliminad</w:t>
      </w:r>
      <w:r w:rsidR="00D53F14">
        <w:rPr>
          <w:sz w:val="24"/>
          <w:szCs w:val="24"/>
          <w:lang w:val="es-PE"/>
        </w:rPr>
        <w:t>o</w:t>
      </w:r>
      <w:r w:rsidR="00885685" w:rsidRPr="00D068A6">
        <w:rPr>
          <w:sz w:val="24"/>
          <w:szCs w:val="24"/>
          <w:lang w:val="es-PE"/>
        </w:rPr>
        <w:t xml:space="preserve">. </w:t>
      </w:r>
      <w:r w:rsidR="00247190">
        <w:rPr>
          <w:sz w:val="24"/>
          <w:szCs w:val="24"/>
          <w:lang w:val="es-PE"/>
        </w:rPr>
        <w:t>Esta brecha</w:t>
      </w:r>
      <w:r w:rsidR="00247190" w:rsidRPr="00D068A6">
        <w:rPr>
          <w:sz w:val="24"/>
          <w:szCs w:val="24"/>
          <w:lang w:val="es-PE"/>
        </w:rPr>
        <w:t xml:space="preserve"> </w:t>
      </w:r>
      <w:r w:rsidR="00D53F14">
        <w:rPr>
          <w:sz w:val="24"/>
          <w:szCs w:val="24"/>
          <w:lang w:val="es-PE"/>
        </w:rPr>
        <w:t>había estado presente</w:t>
      </w:r>
      <w:r w:rsidR="00885685" w:rsidRPr="00D068A6">
        <w:rPr>
          <w:sz w:val="24"/>
          <w:szCs w:val="24"/>
          <w:lang w:val="es-PE"/>
        </w:rPr>
        <w:t xml:space="preserve"> desde</w:t>
      </w:r>
      <w:r w:rsidR="00877F9B" w:rsidRPr="00D068A6">
        <w:rPr>
          <w:sz w:val="24"/>
          <w:szCs w:val="24"/>
          <w:lang w:val="es-PE"/>
        </w:rPr>
        <w:t xml:space="preserve"> </w:t>
      </w:r>
      <w:r w:rsidR="00D53F14">
        <w:rPr>
          <w:sz w:val="24"/>
          <w:szCs w:val="24"/>
          <w:lang w:val="es-PE"/>
        </w:rPr>
        <w:t xml:space="preserve">fines de </w:t>
      </w:r>
      <w:r w:rsidR="00877F9B" w:rsidRPr="00D068A6">
        <w:rPr>
          <w:sz w:val="24"/>
          <w:szCs w:val="24"/>
          <w:lang w:val="es-PE"/>
        </w:rPr>
        <w:t>199</w:t>
      </w:r>
      <w:r w:rsidR="00D53F14">
        <w:rPr>
          <w:sz w:val="24"/>
          <w:szCs w:val="24"/>
          <w:lang w:val="es-PE"/>
        </w:rPr>
        <w:t>8</w:t>
      </w:r>
      <w:r w:rsidR="00877F9B" w:rsidRPr="00D068A6">
        <w:rPr>
          <w:sz w:val="24"/>
          <w:szCs w:val="24"/>
          <w:lang w:val="es-PE"/>
        </w:rPr>
        <w:t xml:space="preserve">, </w:t>
      </w:r>
      <w:r w:rsidR="00885685" w:rsidRPr="00D068A6">
        <w:rPr>
          <w:sz w:val="24"/>
          <w:szCs w:val="24"/>
          <w:lang w:val="es-PE"/>
        </w:rPr>
        <w:t>en agudo contraste con el período</w:t>
      </w:r>
      <w:r w:rsidR="00877F9B" w:rsidRPr="00D068A6">
        <w:rPr>
          <w:sz w:val="24"/>
          <w:szCs w:val="24"/>
          <w:lang w:val="es-PE"/>
        </w:rPr>
        <w:t xml:space="preserve"> 1991-97 </w:t>
      </w:r>
      <w:r w:rsidR="00885685" w:rsidRPr="00D068A6">
        <w:rPr>
          <w:sz w:val="24"/>
          <w:szCs w:val="24"/>
          <w:lang w:val="es-PE"/>
        </w:rPr>
        <w:t xml:space="preserve">cuando prácticamente </w:t>
      </w:r>
      <w:r w:rsidR="000A21B4" w:rsidRPr="00D068A6">
        <w:rPr>
          <w:sz w:val="24"/>
          <w:szCs w:val="24"/>
          <w:lang w:val="es-PE"/>
        </w:rPr>
        <w:t>no existía</w:t>
      </w:r>
      <w:r w:rsidR="00877F9B" w:rsidRPr="00D068A6">
        <w:rPr>
          <w:sz w:val="24"/>
          <w:szCs w:val="24"/>
          <w:lang w:val="es-PE"/>
        </w:rPr>
        <w:t xml:space="preserve">. </w:t>
      </w:r>
    </w:p>
    <w:p w14:paraId="41BE233D" w14:textId="1240FC02" w:rsidR="00877F9B" w:rsidRPr="00D068A6" w:rsidRDefault="00885685" w:rsidP="00877F9B">
      <w:pPr>
        <w:spacing w:line="360" w:lineRule="auto"/>
        <w:ind w:firstLine="708"/>
        <w:jc w:val="both"/>
        <w:rPr>
          <w:sz w:val="24"/>
          <w:szCs w:val="24"/>
          <w:lang w:val="es-PE"/>
        </w:rPr>
      </w:pPr>
      <w:r w:rsidRPr="00D068A6">
        <w:rPr>
          <w:sz w:val="24"/>
          <w:szCs w:val="24"/>
          <w:lang w:val="es-PE"/>
        </w:rPr>
        <w:t>El conjunto de períodos de recesión y recuperación</w:t>
      </w:r>
      <w:r w:rsidR="00207699" w:rsidRPr="00D068A6">
        <w:rPr>
          <w:sz w:val="24"/>
          <w:szCs w:val="24"/>
          <w:lang w:val="es-PE"/>
        </w:rPr>
        <w:t xml:space="preserve"> </w:t>
      </w:r>
      <w:r w:rsidR="00571045">
        <w:rPr>
          <w:sz w:val="24"/>
          <w:szCs w:val="24"/>
          <w:lang w:val="es-PE"/>
        </w:rPr>
        <w:t>implic</w:t>
      </w:r>
      <w:r w:rsidR="00207699" w:rsidRPr="00D068A6">
        <w:rPr>
          <w:sz w:val="24"/>
          <w:szCs w:val="24"/>
          <w:lang w:val="es-PE"/>
        </w:rPr>
        <w:t xml:space="preserve">ó un crecimiento promedio del PBI de 3,9% </w:t>
      </w:r>
      <w:r w:rsidR="00167F34">
        <w:rPr>
          <w:sz w:val="24"/>
          <w:szCs w:val="24"/>
          <w:lang w:val="es-PE"/>
        </w:rPr>
        <w:t xml:space="preserve">anual </w:t>
      </w:r>
      <w:r w:rsidR="00207699" w:rsidRPr="00D068A6">
        <w:rPr>
          <w:sz w:val="24"/>
          <w:szCs w:val="24"/>
          <w:lang w:val="es-PE"/>
        </w:rPr>
        <w:t xml:space="preserve">en </w:t>
      </w:r>
      <w:r w:rsidR="00877F9B" w:rsidRPr="00D068A6">
        <w:rPr>
          <w:sz w:val="24"/>
          <w:szCs w:val="24"/>
          <w:lang w:val="es-PE"/>
        </w:rPr>
        <w:t>1999-2007,</w:t>
      </w:r>
      <w:r w:rsidR="00167F34">
        <w:rPr>
          <w:rStyle w:val="Refdenotaalpie"/>
          <w:sz w:val="24"/>
          <w:szCs w:val="24"/>
          <w:lang w:val="es-PE"/>
        </w:rPr>
        <w:footnoteReference w:id="5"/>
      </w:r>
      <w:r w:rsidR="00877F9B" w:rsidRPr="00D068A6">
        <w:rPr>
          <w:sz w:val="24"/>
          <w:szCs w:val="24"/>
          <w:lang w:val="es-PE"/>
        </w:rPr>
        <w:t xml:space="preserve"> </w:t>
      </w:r>
      <w:r w:rsidR="00207699" w:rsidRPr="00D068A6">
        <w:rPr>
          <w:sz w:val="24"/>
          <w:szCs w:val="24"/>
          <w:lang w:val="es-PE"/>
        </w:rPr>
        <w:t>al tiempo que se alcanz</w:t>
      </w:r>
      <w:r w:rsidR="00D53F14">
        <w:rPr>
          <w:sz w:val="24"/>
          <w:szCs w:val="24"/>
          <w:lang w:val="es-PE"/>
        </w:rPr>
        <w:t>aron</w:t>
      </w:r>
      <w:r w:rsidR="00207699" w:rsidRPr="00D068A6">
        <w:rPr>
          <w:sz w:val="24"/>
          <w:szCs w:val="24"/>
          <w:lang w:val="es-PE"/>
        </w:rPr>
        <w:t xml:space="preserve"> plenamente las metas de inflación</w:t>
      </w:r>
      <w:r w:rsidR="00877F9B" w:rsidRPr="00D068A6">
        <w:rPr>
          <w:sz w:val="24"/>
          <w:szCs w:val="24"/>
          <w:lang w:val="es-PE"/>
        </w:rPr>
        <w:t>,</w:t>
      </w:r>
      <w:r w:rsidR="00877F9B" w:rsidRPr="00D068A6">
        <w:rPr>
          <w:rStyle w:val="Refdenotaalpie"/>
          <w:sz w:val="24"/>
          <w:szCs w:val="24"/>
          <w:lang w:val="es-PE"/>
        </w:rPr>
        <w:footnoteReference w:id="6"/>
      </w:r>
      <w:r w:rsidR="00877F9B" w:rsidRPr="00D068A6">
        <w:rPr>
          <w:sz w:val="24"/>
          <w:szCs w:val="24"/>
          <w:lang w:val="es-PE"/>
        </w:rPr>
        <w:t xml:space="preserve">  </w:t>
      </w:r>
      <w:r w:rsidR="00207699" w:rsidRPr="00D068A6">
        <w:rPr>
          <w:sz w:val="24"/>
          <w:szCs w:val="24"/>
          <w:lang w:val="es-PE"/>
        </w:rPr>
        <w:t>se observó una fuerte disciplina fiscal y se acumul</w:t>
      </w:r>
      <w:r w:rsidR="00D53F14">
        <w:rPr>
          <w:sz w:val="24"/>
          <w:szCs w:val="24"/>
          <w:lang w:val="es-PE"/>
        </w:rPr>
        <w:t>aron</w:t>
      </w:r>
      <w:r w:rsidR="00207699" w:rsidRPr="00D068A6">
        <w:rPr>
          <w:sz w:val="24"/>
          <w:szCs w:val="24"/>
          <w:lang w:val="es-PE"/>
        </w:rPr>
        <w:t xml:space="preserve"> significativos montos de fondos soberanos</w:t>
      </w:r>
      <w:r w:rsidR="00D53F14">
        <w:rPr>
          <w:sz w:val="24"/>
          <w:szCs w:val="24"/>
          <w:lang w:val="es-PE"/>
        </w:rPr>
        <w:t xml:space="preserve">. </w:t>
      </w:r>
      <w:r w:rsidR="0011226F">
        <w:rPr>
          <w:sz w:val="24"/>
          <w:szCs w:val="24"/>
          <w:lang w:val="es-PE"/>
        </w:rPr>
        <w:t xml:space="preserve">Sin embargo, como </w:t>
      </w:r>
      <w:r w:rsidR="00207699" w:rsidRPr="00D068A6">
        <w:rPr>
          <w:sz w:val="24"/>
          <w:szCs w:val="24"/>
          <w:lang w:val="es-PE"/>
        </w:rPr>
        <w:t xml:space="preserve">se evitó ejecutar políticas contracíclicas significativas; </w:t>
      </w:r>
      <w:r w:rsidR="00247190">
        <w:rPr>
          <w:sz w:val="24"/>
          <w:szCs w:val="24"/>
          <w:lang w:val="es-PE"/>
        </w:rPr>
        <w:t>el tipo</w:t>
      </w:r>
      <w:r w:rsidR="00207699" w:rsidRPr="00D068A6">
        <w:rPr>
          <w:sz w:val="24"/>
          <w:szCs w:val="24"/>
          <w:lang w:val="es-PE"/>
        </w:rPr>
        <w:t xml:space="preserve"> de cambio real se apreció notablemente y, en consecuencia, las importaciones aument</w:t>
      </w:r>
      <w:r w:rsidR="000A21B4" w:rsidRPr="00D068A6">
        <w:rPr>
          <w:sz w:val="24"/>
          <w:szCs w:val="24"/>
          <w:lang w:val="es-PE"/>
        </w:rPr>
        <w:t>aron</w:t>
      </w:r>
      <w:r w:rsidR="00207699" w:rsidRPr="00D068A6">
        <w:rPr>
          <w:sz w:val="24"/>
          <w:szCs w:val="24"/>
          <w:lang w:val="es-PE"/>
        </w:rPr>
        <w:t xml:space="preserve"> mucho más rápidamente</w:t>
      </w:r>
      <w:r w:rsidR="00877F9B" w:rsidRPr="00D068A6">
        <w:rPr>
          <w:sz w:val="24"/>
          <w:szCs w:val="24"/>
          <w:lang w:val="es-PE"/>
        </w:rPr>
        <w:t xml:space="preserve"> </w:t>
      </w:r>
      <w:r w:rsidR="00207699" w:rsidRPr="00D068A6">
        <w:rPr>
          <w:sz w:val="24"/>
          <w:szCs w:val="24"/>
          <w:lang w:val="es-PE"/>
        </w:rPr>
        <w:t>que las exportaciones</w:t>
      </w:r>
      <w:r w:rsidR="00877F9B" w:rsidRPr="00D068A6">
        <w:rPr>
          <w:sz w:val="24"/>
          <w:szCs w:val="24"/>
          <w:lang w:val="es-PE"/>
        </w:rPr>
        <w:t xml:space="preserve">. </w:t>
      </w:r>
    </w:p>
    <w:p w14:paraId="365AAF88" w14:textId="15A9F661" w:rsidR="00877F9B" w:rsidRPr="00D068A6" w:rsidRDefault="00207699" w:rsidP="00877F9B">
      <w:pPr>
        <w:spacing w:line="360" w:lineRule="auto"/>
        <w:ind w:firstLine="709"/>
        <w:jc w:val="both"/>
        <w:rPr>
          <w:sz w:val="24"/>
          <w:szCs w:val="24"/>
          <w:lang w:val="es-PE"/>
        </w:rPr>
      </w:pPr>
      <w:r w:rsidRPr="00D068A6">
        <w:rPr>
          <w:sz w:val="24"/>
          <w:szCs w:val="24"/>
          <w:lang w:val="es-PE"/>
        </w:rPr>
        <w:t>E</w:t>
      </w:r>
      <w:r w:rsidR="00877F9B" w:rsidRPr="00D068A6">
        <w:rPr>
          <w:sz w:val="24"/>
          <w:szCs w:val="24"/>
          <w:lang w:val="es-PE"/>
        </w:rPr>
        <w:t xml:space="preserve">n 2008 </w:t>
      </w:r>
      <w:r w:rsidRPr="00D068A6">
        <w:rPr>
          <w:sz w:val="24"/>
          <w:szCs w:val="24"/>
          <w:lang w:val="es-PE"/>
        </w:rPr>
        <w:t>el contagio de la crisis global tuvo un abrupto impacto en la actividad económica. El gobierno</w:t>
      </w:r>
      <w:r w:rsidR="00571045">
        <w:rPr>
          <w:sz w:val="24"/>
          <w:szCs w:val="24"/>
          <w:lang w:val="es-PE"/>
        </w:rPr>
        <w:t>, en un giro de enfoque de política,</w:t>
      </w:r>
      <w:r w:rsidRPr="00D068A6">
        <w:rPr>
          <w:sz w:val="24"/>
          <w:szCs w:val="24"/>
          <w:lang w:val="es-PE"/>
        </w:rPr>
        <w:t xml:space="preserve"> lo enfrentó </w:t>
      </w:r>
      <w:r w:rsidR="000A21B4" w:rsidRPr="00D068A6">
        <w:rPr>
          <w:sz w:val="24"/>
          <w:szCs w:val="24"/>
          <w:lang w:val="es-PE"/>
        </w:rPr>
        <w:t>con</w:t>
      </w:r>
      <w:r w:rsidRPr="00D068A6">
        <w:rPr>
          <w:sz w:val="24"/>
          <w:szCs w:val="24"/>
          <w:lang w:val="es-PE"/>
        </w:rPr>
        <w:t xml:space="preserve"> un </w:t>
      </w:r>
      <w:r w:rsidR="000A21B4" w:rsidRPr="00D068A6">
        <w:rPr>
          <w:sz w:val="24"/>
          <w:szCs w:val="24"/>
          <w:lang w:val="es-PE"/>
        </w:rPr>
        <w:t>fuerte</w:t>
      </w:r>
      <w:r w:rsidRPr="00D068A6">
        <w:rPr>
          <w:sz w:val="24"/>
          <w:szCs w:val="24"/>
          <w:lang w:val="es-PE"/>
        </w:rPr>
        <w:t xml:space="preserve"> </w:t>
      </w:r>
      <w:r w:rsidR="00933909">
        <w:rPr>
          <w:sz w:val="24"/>
          <w:szCs w:val="24"/>
          <w:lang w:val="es-PE"/>
        </w:rPr>
        <w:t>ajuste</w:t>
      </w:r>
      <w:r w:rsidRPr="00D068A6">
        <w:rPr>
          <w:sz w:val="24"/>
          <w:szCs w:val="24"/>
          <w:lang w:val="es-PE"/>
        </w:rPr>
        <w:t xml:space="preserve"> de </w:t>
      </w:r>
      <w:r w:rsidR="00933909">
        <w:rPr>
          <w:sz w:val="24"/>
          <w:szCs w:val="24"/>
          <w:lang w:val="es-PE"/>
        </w:rPr>
        <w:t xml:space="preserve">la </w:t>
      </w:r>
      <w:r w:rsidRPr="00D068A6">
        <w:rPr>
          <w:sz w:val="24"/>
          <w:szCs w:val="24"/>
          <w:lang w:val="es-PE"/>
        </w:rPr>
        <w:t xml:space="preserve">política fiscal. En </w:t>
      </w:r>
      <w:r w:rsidR="00877F9B" w:rsidRPr="00D068A6">
        <w:rPr>
          <w:sz w:val="24"/>
          <w:szCs w:val="24"/>
          <w:lang w:val="es-PE"/>
        </w:rPr>
        <w:t xml:space="preserve">2008-2009, </w:t>
      </w:r>
      <w:r w:rsidRPr="00D068A6">
        <w:rPr>
          <w:sz w:val="24"/>
          <w:szCs w:val="24"/>
          <w:lang w:val="es-PE"/>
        </w:rPr>
        <w:t xml:space="preserve">los efectos </w:t>
      </w:r>
      <w:r w:rsidR="0053417B">
        <w:rPr>
          <w:sz w:val="24"/>
          <w:szCs w:val="24"/>
          <w:lang w:val="es-PE"/>
        </w:rPr>
        <w:t xml:space="preserve">negativos </w:t>
      </w:r>
      <w:r w:rsidRPr="00D068A6">
        <w:rPr>
          <w:sz w:val="24"/>
          <w:szCs w:val="24"/>
          <w:lang w:val="es-PE"/>
        </w:rPr>
        <w:t xml:space="preserve">del shock externo se </w:t>
      </w:r>
      <w:r w:rsidR="009A3D1D">
        <w:rPr>
          <w:sz w:val="24"/>
          <w:szCs w:val="24"/>
          <w:lang w:val="es-PE"/>
        </w:rPr>
        <w:t>enfrentaron</w:t>
      </w:r>
      <w:r w:rsidRPr="00D068A6">
        <w:rPr>
          <w:sz w:val="24"/>
          <w:szCs w:val="24"/>
          <w:lang w:val="es-PE"/>
        </w:rPr>
        <w:t xml:space="preserve"> </w:t>
      </w:r>
      <w:r w:rsidR="009A3D1D">
        <w:rPr>
          <w:sz w:val="24"/>
          <w:szCs w:val="24"/>
          <w:lang w:val="es-PE"/>
        </w:rPr>
        <w:t>progresivamente</w:t>
      </w:r>
      <w:r w:rsidRPr="00D068A6">
        <w:rPr>
          <w:sz w:val="24"/>
          <w:szCs w:val="24"/>
          <w:lang w:val="es-PE"/>
        </w:rPr>
        <w:t xml:space="preserve"> gracias al </w:t>
      </w:r>
      <w:r w:rsidR="009A3D1D">
        <w:rPr>
          <w:sz w:val="24"/>
          <w:szCs w:val="24"/>
          <w:lang w:val="es-PE"/>
        </w:rPr>
        <w:t>impulso</w:t>
      </w:r>
      <w:r w:rsidR="00877F9B" w:rsidRPr="00D068A6">
        <w:rPr>
          <w:sz w:val="24"/>
          <w:szCs w:val="24"/>
          <w:lang w:val="es-PE"/>
        </w:rPr>
        <w:t xml:space="preserve"> </w:t>
      </w:r>
      <w:r w:rsidRPr="00D068A6">
        <w:rPr>
          <w:sz w:val="24"/>
          <w:szCs w:val="24"/>
          <w:lang w:val="es-PE"/>
        </w:rPr>
        <w:t xml:space="preserve">de las políticas </w:t>
      </w:r>
      <w:r w:rsidR="009A3D1D">
        <w:rPr>
          <w:sz w:val="24"/>
          <w:szCs w:val="24"/>
          <w:lang w:val="es-PE"/>
        </w:rPr>
        <w:t>públicas</w:t>
      </w:r>
      <w:r w:rsidRPr="00D068A6">
        <w:rPr>
          <w:sz w:val="24"/>
          <w:szCs w:val="24"/>
          <w:lang w:val="es-PE"/>
        </w:rPr>
        <w:t xml:space="preserve">, particularmente la del Ministerio de </w:t>
      </w:r>
      <w:r w:rsidR="009A3D1D">
        <w:rPr>
          <w:sz w:val="24"/>
          <w:szCs w:val="24"/>
          <w:lang w:val="es-PE"/>
        </w:rPr>
        <w:t>Hacienda</w:t>
      </w:r>
      <w:r w:rsidRPr="00D068A6">
        <w:rPr>
          <w:sz w:val="24"/>
          <w:szCs w:val="24"/>
          <w:lang w:val="es-PE"/>
        </w:rPr>
        <w:t xml:space="preserve"> que pasó de un gran superávit a un déficit fiscal </w:t>
      </w:r>
      <w:r w:rsidR="009A3D1D">
        <w:rPr>
          <w:sz w:val="24"/>
          <w:szCs w:val="24"/>
          <w:lang w:val="es-PE"/>
        </w:rPr>
        <w:t xml:space="preserve">efectivo de </w:t>
      </w:r>
      <w:r w:rsidR="00167F34">
        <w:rPr>
          <w:sz w:val="24"/>
          <w:szCs w:val="24"/>
          <w:lang w:val="es-PE"/>
        </w:rPr>
        <w:t>4,</w:t>
      </w:r>
      <w:r w:rsidRPr="00D068A6">
        <w:rPr>
          <w:sz w:val="24"/>
          <w:szCs w:val="24"/>
          <w:lang w:val="es-PE"/>
        </w:rPr>
        <w:t>4% del PBI en</w:t>
      </w:r>
      <w:r w:rsidR="00877F9B" w:rsidRPr="00D068A6">
        <w:rPr>
          <w:sz w:val="24"/>
          <w:szCs w:val="24"/>
          <w:lang w:val="es-PE"/>
        </w:rPr>
        <w:t xml:space="preserve"> 2009</w:t>
      </w:r>
      <w:r w:rsidR="00571045">
        <w:rPr>
          <w:sz w:val="24"/>
          <w:szCs w:val="24"/>
          <w:lang w:val="es-PE"/>
        </w:rPr>
        <w:t xml:space="preserve">. Éste fue </w:t>
      </w:r>
      <w:r w:rsidRPr="00D068A6">
        <w:rPr>
          <w:sz w:val="24"/>
          <w:szCs w:val="24"/>
          <w:lang w:val="es-PE"/>
        </w:rPr>
        <w:t xml:space="preserve">financiado </w:t>
      </w:r>
      <w:r w:rsidR="00571045">
        <w:rPr>
          <w:sz w:val="24"/>
          <w:szCs w:val="24"/>
          <w:lang w:val="es-PE"/>
        </w:rPr>
        <w:t>con e</w:t>
      </w:r>
      <w:r w:rsidRPr="00D068A6">
        <w:rPr>
          <w:sz w:val="24"/>
          <w:szCs w:val="24"/>
          <w:lang w:val="es-PE"/>
        </w:rPr>
        <w:t>l fondo soberano constituido en los años anteriores</w:t>
      </w:r>
      <w:r w:rsidR="00352FDD">
        <w:rPr>
          <w:sz w:val="24"/>
          <w:szCs w:val="24"/>
          <w:lang w:val="es-PE"/>
        </w:rPr>
        <w:t xml:space="preserve"> (cuadro 4, fila 1)</w:t>
      </w:r>
      <w:r w:rsidR="00877F9B" w:rsidRPr="00D068A6">
        <w:rPr>
          <w:sz w:val="24"/>
          <w:szCs w:val="24"/>
          <w:lang w:val="es-PE"/>
        </w:rPr>
        <w:t>.</w:t>
      </w:r>
      <w:r w:rsidRPr="00D068A6">
        <w:rPr>
          <w:sz w:val="24"/>
          <w:szCs w:val="24"/>
          <w:lang w:val="es-PE"/>
        </w:rPr>
        <w:t xml:space="preserve"> Hacia el último trimestre de 2009, </w:t>
      </w:r>
      <w:r w:rsidR="009A3D1D">
        <w:rPr>
          <w:sz w:val="24"/>
          <w:szCs w:val="24"/>
          <w:lang w:val="es-PE"/>
        </w:rPr>
        <w:t>prevalecía</w:t>
      </w:r>
      <w:r w:rsidRPr="00D068A6">
        <w:rPr>
          <w:sz w:val="24"/>
          <w:szCs w:val="24"/>
          <w:lang w:val="es-PE"/>
        </w:rPr>
        <w:t xml:space="preserve"> una fuerte recuperación. Sin duda, </w:t>
      </w:r>
      <w:r w:rsidR="00352FDD">
        <w:rPr>
          <w:sz w:val="24"/>
          <w:szCs w:val="24"/>
          <w:lang w:val="es-PE"/>
        </w:rPr>
        <w:t xml:space="preserve">también </w:t>
      </w:r>
      <w:r w:rsidRPr="00D068A6">
        <w:rPr>
          <w:sz w:val="24"/>
          <w:szCs w:val="24"/>
          <w:lang w:val="es-PE"/>
        </w:rPr>
        <w:t>el auge del precio del cobre, que se había reiniciado a mediados de 2009</w:t>
      </w:r>
      <w:r w:rsidR="000A21B4" w:rsidRPr="00D068A6">
        <w:rPr>
          <w:sz w:val="24"/>
          <w:szCs w:val="24"/>
          <w:lang w:val="es-PE"/>
        </w:rPr>
        <w:t>,</w:t>
      </w:r>
      <w:r w:rsidRPr="00D068A6">
        <w:rPr>
          <w:sz w:val="24"/>
          <w:szCs w:val="24"/>
          <w:lang w:val="es-PE"/>
        </w:rPr>
        <w:t xml:space="preserve"> </w:t>
      </w:r>
      <w:r w:rsidR="00352FDD">
        <w:rPr>
          <w:sz w:val="24"/>
          <w:szCs w:val="24"/>
          <w:lang w:val="es-PE"/>
        </w:rPr>
        <w:t xml:space="preserve"> </w:t>
      </w:r>
      <w:r w:rsidRPr="00D068A6">
        <w:rPr>
          <w:sz w:val="24"/>
          <w:szCs w:val="24"/>
          <w:lang w:val="es-PE"/>
        </w:rPr>
        <w:t>contribuyó a la recuperación de la</w:t>
      </w:r>
      <w:r w:rsidR="000A21B4" w:rsidRPr="00D068A6">
        <w:rPr>
          <w:sz w:val="24"/>
          <w:szCs w:val="24"/>
          <w:lang w:val="es-PE"/>
        </w:rPr>
        <w:t>s</w:t>
      </w:r>
      <w:r w:rsidRPr="00D068A6">
        <w:rPr>
          <w:sz w:val="24"/>
          <w:szCs w:val="24"/>
          <w:lang w:val="es-PE"/>
        </w:rPr>
        <w:t xml:space="preserve"> expectativa</w:t>
      </w:r>
      <w:r w:rsidR="000A21B4" w:rsidRPr="00D068A6">
        <w:rPr>
          <w:sz w:val="24"/>
          <w:szCs w:val="24"/>
          <w:lang w:val="es-PE"/>
        </w:rPr>
        <w:t>s</w:t>
      </w:r>
      <w:r w:rsidRPr="00D068A6">
        <w:rPr>
          <w:sz w:val="24"/>
          <w:szCs w:val="24"/>
          <w:lang w:val="es-PE"/>
        </w:rPr>
        <w:t xml:space="preserve"> privada</w:t>
      </w:r>
      <w:r w:rsidR="000A21B4" w:rsidRPr="00D068A6">
        <w:rPr>
          <w:sz w:val="24"/>
          <w:szCs w:val="24"/>
          <w:lang w:val="es-PE"/>
        </w:rPr>
        <w:t>s</w:t>
      </w:r>
      <w:r w:rsidRPr="00D068A6">
        <w:rPr>
          <w:sz w:val="24"/>
          <w:szCs w:val="24"/>
          <w:lang w:val="es-PE"/>
        </w:rPr>
        <w:t xml:space="preserve"> y los ingresos fiscales</w:t>
      </w:r>
      <w:r w:rsidR="00877F9B" w:rsidRPr="00D068A6">
        <w:rPr>
          <w:sz w:val="24"/>
          <w:szCs w:val="24"/>
          <w:lang w:val="es-PE"/>
        </w:rPr>
        <w:t>.</w:t>
      </w:r>
    </w:p>
    <w:p w14:paraId="73E103D5" w14:textId="345D9B9D" w:rsidR="00DD6D33" w:rsidRPr="00D068A6" w:rsidRDefault="00207699" w:rsidP="00877F9B">
      <w:pPr>
        <w:spacing w:line="360" w:lineRule="auto"/>
        <w:ind w:firstLine="709"/>
        <w:jc w:val="both"/>
        <w:rPr>
          <w:sz w:val="24"/>
          <w:szCs w:val="24"/>
          <w:lang w:val="es-PE"/>
        </w:rPr>
      </w:pPr>
      <w:r w:rsidRPr="00D068A6">
        <w:rPr>
          <w:sz w:val="24"/>
          <w:szCs w:val="24"/>
          <w:lang w:val="es-PE"/>
        </w:rPr>
        <w:lastRenderedPageBreak/>
        <w:t xml:space="preserve">La recuperación de la actividad económica y del PBI </w:t>
      </w:r>
      <w:r w:rsidR="009A3D1D">
        <w:rPr>
          <w:sz w:val="24"/>
          <w:szCs w:val="24"/>
          <w:lang w:val="es-PE"/>
        </w:rPr>
        <w:t xml:space="preserve">efectivo </w:t>
      </w:r>
      <w:r w:rsidRPr="00D068A6">
        <w:rPr>
          <w:sz w:val="24"/>
          <w:szCs w:val="24"/>
          <w:lang w:val="es-PE"/>
        </w:rPr>
        <w:t>quedó interrumpida por el terremoto y tsunami del 27 de febrero de</w:t>
      </w:r>
      <w:r w:rsidR="00877F9B" w:rsidRPr="00D068A6">
        <w:rPr>
          <w:sz w:val="24"/>
          <w:szCs w:val="24"/>
          <w:lang w:val="es-PE"/>
        </w:rPr>
        <w:t xml:space="preserve"> 2010 (27F). </w:t>
      </w:r>
      <w:r w:rsidR="000A21B4" w:rsidRPr="00D068A6">
        <w:rPr>
          <w:sz w:val="24"/>
          <w:szCs w:val="24"/>
          <w:lang w:val="es-PE"/>
        </w:rPr>
        <w:t>Tras</w:t>
      </w:r>
      <w:r w:rsidRPr="00D068A6">
        <w:rPr>
          <w:sz w:val="24"/>
          <w:szCs w:val="24"/>
          <w:lang w:val="es-PE"/>
        </w:rPr>
        <w:t xml:space="preserve"> esta seria interrupción que, según el Banco Central, </w:t>
      </w:r>
      <w:r w:rsidR="00DD6D33" w:rsidRPr="00D068A6">
        <w:rPr>
          <w:sz w:val="24"/>
          <w:szCs w:val="24"/>
          <w:lang w:val="es-PE"/>
        </w:rPr>
        <w:t>destruyó un 1,0-1,5% del PBI potencial</w:t>
      </w:r>
      <w:r w:rsidR="00933909">
        <w:rPr>
          <w:sz w:val="24"/>
          <w:szCs w:val="24"/>
          <w:lang w:val="es-PE"/>
        </w:rPr>
        <w:t>, en el 2010 aún</w:t>
      </w:r>
      <w:r w:rsidR="00DD6D33" w:rsidRPr="00D068A6">
        <w:rPr>
          <w:sz w:val="24"/>
          <w:szCs w:val="24"/>
          <w:lang w:val="es-PE"/>
        </w:rPr>
        <w:t xml:space="preserve"> s</w:t>
      </w:r>
      <w:r w:rsidR="00167F34">
        <w:rPr>
          <w:sz w:val="24"/>
          <w:szCs w:val="24"/>
          <w:lang w:val="es-PE"/>
        </w:rPr>
        <w:t>ubsistía</w:t>
      </w:r>
      <w:r w:rsidR="00DD6D33" w:rsidRPr="00D068A6">
        <w:rPr>
          <w:sz w:val="24"/>
          <w:szCs w:val="24"/>
          <w:lang w:val="es-PE"/>
        </w:rPr>
        <w:t xml:space="preserve"> una amplia brecha recesiva </w:t>
      </w:r>
      <w:r w:rsidR="00167F34">
        <w:rPr>
          <w:sz w:val="24"/>
          <w:szCs w:val="24"/>
          <w:lang w:val="es-PE"/>
        </w:rPr>
        <w:t>y</w:t>
      </w:r>
      <w:r w:rsidR="00DD6D33" w:rsidRPr="00D068A6">
        <w:rPr>
          <w:sz w:val="24"/>
          <w:szCs w:val="24"/>
          <w:lang w:val="es-PE"/>
        </w:rPr>
        <w:t xml:space="preserve"> espacio </w:t>
      </w:r>
      <w:r w:rsidR="00167F34">
        <w:rPr>
          <w:sz w:val="24"/>
          <w:szCs w:val="24"/>
          <w:lang w:val="es-PE"/>
        </w:rPr>
        <w:t>para</w:t>
      </w:r>
      <w:r w:rsidR="00DD6D33" w:rsidRPr="00D068A6">
        <w:rPr>
          <w:sz w:val="24"/>
          <w:szCs w:val="24"/>
          <w:lang w:val="es-PE"/>
        </w:rPr>
        <w:t xml:space="preserve"> políticas </w:t>
      </w:r>
      <w:r w:rsidR="00167F34">
        <w:rPr>
          <w:sz w:val="24"/>
          <w:szCs w:val="24"/>
          <w:lang w:val="es-PE"/>
        </w:rPr>
        <w:t>re</w:t>
      </w:r>
      <w:r w:rsidR="00DD6D33" w:rsidRPr="00D068A6">
        <w:rPr>
          <w:sz w:val="24"/>
          <w:szCs w:val="24"/>
          <w:lang w:val="es-PE"/>
        </w:rPr>
        <w:t>activa</w:t>
      </w:r>
      <w:r w:rsidR="00167F34">
        <w:rPr>
          <w:sz w:val="24"/>
          <w:szCs w:val="24"/>
          <w:lang w:val="es-PE"/>
        </w:rPr>
        <w:t>doras</w:t>
      </w:r>
      <w:r w:rsidR="00DD6D33" w:rsidRPr="00D068A6">
        <w:rPr>
          <w:sz w:val="24"/>
          <w:szCs w:val="24"/>
          <w:lang w:val="es-PE"/>
        </w:rPr>
        <w:t xml:space="preserve"> </w:t>
      </w:r>
      <w:r w:rsidR="00167F34">
        <w:rPr>
          <w:sz w:val="24"/>
          <w:szCs w:val="24"/>
          <w:lang w:val="es-PE"/>
        </w:rPr>
        <w:t>de la economía</w:t>
      </w:r>
      <w:r w:rsidR="00DD6D33" w:rsidRPr="00D068A6">
        <w:rPr>
          <w:sz w:val="24"/>
          <w:szCs w:val="24"/>
          <w:lang w:val="es-PE"/>
        </w:rPr>
        <w:t xml:space="preserve">. </w:t>
      </w:r>
    </w:p>
    <w:p w14:paraId="139977DC" w14:textId="2FFA2758" w:rsidR="00877F9B" w:rsidRPr="00D068A6" w:rsidRDefault="00DD6D33" w:rsidP="00DD6D33">
      <w:pPr>
        <w:tabs>
          <w:tab w:val="left" w:pos="3261"/>
        </w:tabs>
        <w:spacing w:line="360" w:lineRule="auto"/>
        <w:ind w:firstLine="709"/>
        <w:jc w:val="both"/>
        <w:rPr>
          <w:sz w:val="24"/>
          <w:szCs w:val="24"/>
          <w:lang w:val="es-PE"/>
        </w:rPr>
      </w:pPr>
      <w:r w:rsidRPr="00D068A6">
        <w:rPr>
          <w:sz w:val="24"/>
          <w:szCs w:val="24"/>
          <w:lang w:val="es-PE"/>
        </w:rPr>
        <w:t xml:space="preserve">La elevada demanda </w:t>
      </w:r>
      <w:r w:rsidR="00D216D4">
        <w:rPr>
          <w:sz w:val="24"/>
          <w:szCs w:val="24"/>
          <w:lang w:val="es-PE"/>
        </w:rPr>
        <w:t>interna</w:t>
      </w:r>
      <w:r w:rsidRPr="00D068A6">
        <w:rPr>
          <w:sz w:val="24"/>
          <w:szCs w:val="24"/>
          <w:lang w:val="es-PE"/>
        </w:rPr>
        <w:t xml:space="preserve"> </w:t>
      </w:r>
      <w:r w:rsidR="00933909">
        <w:rPr>
          <w:sz w:val="24"/>
          <w:szCs w:val="24"/>
          <w:lang w:val="es-PE"/>
        </w:rPr>
        <w:t>resultante</w:t>
      </w:r>
      <w:r w:rsidRPr="00D068A6">
        <w:rPr>
          <w:sz w:val="24"/>
          <w:szCs w:val="24"/>
          <w:lang w:val="es-PE"/>
        </w:rPr>
        <w:t xml:space="preserve"> de las políticas contracíclicas de 2009 se </w:t>
      </w:r>
      <w:r w:rsidR="00352FDD">
        <w:rPr>
          <w:sz w:val="24"/>
          <w:szCs w:val="24"/>
          <w:lang w:val="es-PE"/>
        </w:rPr>
        <w:t>increment</w:t>
      </w:r>
      <w:r w:rsidRPr="00D068A6">
        <w:rPr>
          <w:sz w:val="24"/>
          <w:szCs w:val="24"/>
          <w:lang w:val="es-PE"/>
        </w:rPr>
        <w:t xml:space="preserve">ó aún más debido al gasto efectuado en la reconstrucción pos-sismo, financiada con una </w:t>
      </w:r>
      <w:r w:rsidR="00D216D4">
        <w:rPr>
          <w:sz w:val="24"/>
          <w:szCs w:val="24"/>
          <w:lang w:val="es-PE"/>
        </w:rPr>
        <w:t>elevada proporción</w:t>
      </w:r>
      <w:r w:rsidRPr="00D068A6">
        <w:rPr>
          <w:sz w:val="24"/>
          <w:szCs w:val="24"/>
          <w:lang w:val="es-PE"/>
        </w:rPr>
        <w:t xml:space="preserve"> de los ingresos obtenidos gracias a los precios extremadamente elevados del cobre.</w:t>
      </w:r>
      <w:r w:rsidRPr="00C078A6">
        <w:rPr>
          <w:sz w:val="24"/>
          <w:szCs w:val="24"/>
          <w:lang w:val="es-PE"/>
        </w:rPr>
        <w:t xml:space="preserve">  E</w:t>
      </w:r>
      <w:r w:rsidR="00877F9B" w:rsidRPr="00C078A6">
        <w:rPr>
          <w:sz w:val="24"/>
          <w:szCs w:val="24"/>
          <w:lang w:val="es-PE"/>
        </w:rPr>
        <w:t xml:space="preserve">n 2010-13, </w:t>
      </w:r>
      <w:r w:rsidRPr="00C078A6">
        <w:rPr>
          <w:sz w:val="24"/>
          <w:szCs w:val="24"/>
          <w:lang w:val="es-PE"/>
        </w:rPr>
        <w:t>la demanda interna creció más rápida</w:t>
      </w:r>
      <w:r w:rsidRPr="00D068A6">
        <w:rPr>
          <w:sz w:val="24"/>
          <w:szCs w:val="24"/>
          <w:lang w:val="es-PE"/>
        </w:rPr>
        <w:t xml:space="preserve">mente que el producto, estimulando </w:t>
      </w:r>
      <w:r w:rsidR="00D216D4">
        <w:rPr>
          <w:sz w:val="24"/>
          <w:szCs w:val="24"/>
          <w:lang w:val="es-PE"/>
        </w:rPr>
        <w:t>una reactivación d</w:t>
      </w:r>
      <w:r w:rsidRPr="00D068A6">
        <w:rPr>
          <w:sz w:val="24"/>
          <w:szCs w:val="24"/>
          <w:lang w:val="es-PE"/>
        </w:rPr>
        <w:t xml:space="preserve">el PBI </w:t>
      </w:r>
      <w:r w:rsidR="00D216D4">
        <w:rPr>
          <w:sz w:val="24"/>
          <w:szCs w:val="24"/>
          <w:lang w:val="es-PE"/>
        </w:rPr>
        <w:t>efectivo</w:t>
      </w:r>
      <w:r w:rsidRPr="00D068A6">
        <w:rPr>
          <w:sz w:val="24"/>
          <w:szCs w:val="24"/>
          <w:lang w:val="es-PE"/>
        </w:rPr>
        <w:t xml:space="preserve"> </w:t>
      </w:r>
      <w:r w:rsidR="00933909" w:rsidRPr="00D068A6">
        <w:rPr>
          <w:sz w:val="24"/>
          <w:szCs w:val="24"/>
          <w:lang w:val="es-PE"/>
        </w:rPr>
        <w:t>(a un promedio de 5,3%)</w:t>
      </w:r>
      <w:r w:rsidR="00933909">
        <w:rPr>
          <w:sz w:val="24"/>
          <w:szCs w:val="24"/>
          <w:lang w:val="es-PE"/>
        </w:rPr>
        <w:t>,</w:t>
      </w:r>
      <w:r w:rsidR="00933909" w:rsidRPr="00D068A6">
        <w:rPr>
          <w:sz w:val="24"/>
          <w:szCs w:val="24"/>
          <w:lang w:val="es-PE"/>
        </w:rPr>
        <w:t xml:space="preserve"> </w:t>
      </w:r>
      <w:r w:rsidR="00D216D4">
        <w:rPr>
          <w:sz w:val="24"/>
          <w:szCs w:val="24"/>
          <w:lang w:val="es-PE"/>
        </w:rPr>
        <w:t xml:space="preserve">reutilizando la capacidad instalada </w:t>
      </w:r>
      <w:r w:rsidRPr="00D068A6">
        <w:rPr>
          <w:sz w:val="24"/>
          <w:szCs w:val="24"/>
          <w:lang w:val="es-PE"/>
        </w:rPr>
        <w:t xml:space="preserve">sin crear presiones inflacionarias. </w:t>
      </w:r>
      <w:r w:rsidR="00F8374E">
        <w:rPr>
          <w:sz w:val="24"/>
          <w:szCs w:val="24"/>
          <w:lang w:val="es-PE"/>
        </w:rPr>
        <w:t>Sin embargo, u</w:t>
      </w:r>
      <w:r w:rsidRPr="00D068A6">
        <w:rPr>
          <w:sz w:val="24"/>
          <w:szCs w:val="24"/>
          <w:lang w:val="es-PE"/>
        </w:rPr>
        <w:t xml:space="preserve">na vez más, se produjo una significativa apreciación </w:t>
      </w:r>
      <w:r w:rsidR="0053417B">
        <w:rPr>
          <w:sz w:val="24"/>
          <w:szCs w:val="24"/>
          <w:lang w:val="es-PE"/>
        </w:rPr>
        <w:t>del tipo</w:t>
      </w:r>
      <w:r w:rsidRPr="00D068A6">
        <w:rPr>
          <w:sz w:val="24"/>
          <w:szCs w:val="24"/>
          <w:lang w:val="es-PE"/>
        </w:rPr>
        <w:t xml:space="preserve"> de cambio y </w:t>
      </w:r>
      <w:r w:rsidR="00D216D4">
        <w:rPr>
          <w:sz w:val="24"/>
          <w:szCs w:val="24"/>
          <w:lang w:val="es-PE"/>
        </w:rPr>
        <w:t>ello</w:t>
      </w:r>
      <w:r w:rsidRPr="00D068A6">
        <w:rPr>
          <w:sz w:val="24"/>
          <w:szCs w:val="24"/>
          <w:lang w:val="es-PE"/>
        </w:rPr>
        <w:t xml:space="preserve"> contribuyó a “anclar” el IPC</w:t>
      </w:r>
      <w:r w:rsidR="00352FDD">
        <w:rPr>
          <w:sz w:val="24"/>
          <w:szCs w:val="24"/>
          <w:lang w:val="es-PE"/>
        </w:rPr>
        <w:t>, en tanto que desequilibraba las cuentas externas</w:t>
      </w:r>
      <w:r w:rsidRPr="00D068A6">
        <w:rPr>
          <w:sz w:val="24"/>
          <w:szCs w:val="24"/>
          <w:lang w:val="es-PE"/>
        </w:rPr>
        <w:t>. A medida que se iba reduciendo la brecha recesiva, di</w:t>
      </w:r>
      <w:r w:rsidR="00207CD9" w:rsidRPr="00D068A6">
        <w:rPr>
          <w:sz w:val="24"/>
          <w:szCs w:val="24"/>
          <w:lang w:val="es-PE"/>
        </w:rPr>
        <w:t xml:space="preserve">sminuyó también la velocidad de </w:t>
      </w:r>
      <w:r w:rsidRPr="00D068A6">
        <w:rPr>
          <w:sz w:val="24"/>
          <w:szCs w:val="24"/>
          <w:lang w:val="es-PE"/>
        </w:rPr>
        <w:t>crecimiento del PBI real</w:t>
      </w:r>
      <w:r w:rsidR="00D216D4">
        <w:rPr>
          <w:sz w:val="24"/>
          <w:szCs w:val="24"/>
          <w:lang w:val="es-PE"/>
        </w:rPr>
        <w:t xml:space="preserve">, cayendo </w:t>
      </w:r>
      <w:r w:rsidRPr="00D068A6">
        <w:rPr>
          <w:sz w:val="24"/>
          <w:szCs w:val="24"/>
          <w:lang w:val="es-PE"/>
        </w:rPr>
        <w:t xml:space="preserve">al </w:t>
      </w:r>
      <w:r w:rsidR="00207CD9" w:rsidRPr="00D068A6">
        <w:rPr>
          <w:sz w:val="24"/>
          <w:szCs w:val="24"/>
          <w:lang w:val="es-PE"/>
        </w:rPr>
        <w:t>4,</w:t>
      </w:r>
      <w:r w:rsidR="00692063" w:rsidRPr="00D068A6">
        <w:rPr>
          <w:sz w:val="24"/>
          <w:szCs w:val="24"/>
          <w:lang w:val="es-PE"/>
        </w:rPr>
        <w:t>0</w:t>
      </w:r>
      <w:r w:rsidR="00877F9B" w:rsidRPr="00D068A6">
        <w:rPr>
          <w:sz w:val="24"/>
          <w:szCs w:val="24"/>
          <w:lang w:val="es-PE"/>
        </w:rPr>
        <w:t xml:space="preserve">% </w:t>
      </w:r>
      <w:r w:rsidRPr="00D068A6">
        <w:rPr>
          <w:sz w:val="24"/>
          <w:szCs w:val="24"/>
          <w:lang w:val="es-PE"/>
        </w:rPr>
        <w:t>en</w:t>
      </w:r>
      <w:r w:rsidR="00877F9B" w:rsidRPr="00D068A6">
        <w:rPr>
          <w:sz w:val="24"/>
          <w:szCs w:val="24"/>
          <w:lang w:val="es-PE"/>
        </w:rPr>
        <w:t xml:space="preserve"> 2013, </w:t>
      </w:r>
      <w:r w:rsidRPr="00D068A6">
        <w:rPr>
          <w:sz w:val="24"/>
          <w:szCs w:val="24"/>
          <w:lang w:val="es-PE"/>
        </w:rPr>
        <w:t>y a</w:t>
      </w:r>
      <w:r w:rsidR="00877F9B" w:rsidRPr="00D068A6">
        <w:rPr>
          <w:sz w:val="24"/>
          <w:szCs w:val="24"/>
          <w:lang w:val="es-PE"/>
        </w:rPr>
        <w:t xml:space="preserve"> 3% </w:t>
      </w:r>
      <w:r w:rsidRPr="00D068A6">
        <w:rPr>
          <w:sz w:val="24"/>
          <w:szCs w:val="24"/>
          <w:lang w:val="es-PE"/>
        </w:rPr>
        <w:t>en el último trimestre de ese año</w:t>
      </w:r>
      <w:r w:rsidR="00877F9B" w:rsidRPr="00D068A6">
        <w:rPr>
          <w:sz w:val="24"/>
          <w:szCs w:val="24"/>
          <w:lang w:val="es-PE"/>
        </w:rPr>
        <w:t>.</w:t>
      </w:r>
    </w:p>
    <w:p w14:paraId="0197E5CD" w14:textId="6E6D3F16" w:rsidR="00877F9B" w:rsidRPr="00D068A6" w:rsidRDefault="00DD6D33" w:rsidP="00877F9B">
      <w:pPr>
        <w:pStyle w:val="Prrafodelista"/>
        <w:spacing w:line="360" w:lineRule="auto"/>
        <w:ind w:left="0" w:right="57" w:firstLine="708"/>
        <w:jc w:val="both"/>
        <w:rPr>
          <w:sz w:val="24"/>
          <w:szCs w:val="24"/>
          <w:lang w:val="es-PE"/>
        </w:rPr>
      </w:pPr>
      <w:r w:rsidRPr="00D068A6">
        <w:rPr>
          <w:sz w:val="24"/>
          <w:szCs w:val="24"/>
          <w:lang w:val="es-PE"/>
        </w:rPr>
        <w:t xml:space="preserve">Para evitar el </w:t>
      </w:r>
      <w:r w:rsidR="00207CD9" w:rsidRPr="00D068A6">
        <w:rPr>
          <w:sz w:val="24"/>
          <w:szCs w:val="24"/>
          <w:lang w:val="es-PE"/>
        </w:rPr>
        <w:t xml:space="preserve">error </w:t>
      </w:r>
      <w:r w:rsidRPr="00D068A6">
        <w:rPr>
          <w:sz w:val="24"/>
          <w:szCs w:val="24"/>
          <w:lang w:val="es-PE"/>
        </w:rPr>
        <w:t xml:space="preserve">común de no tomar en cuenta lo que sucedió antes de la recuperación, si </w:t>
      </w:r>
      <w:r w:rsidR="00D216D4">
        <w:rPr>
          <w:sz w:val="24"/>
          <w:szCs w:val="24"/>
          <w:lang w:val="es-PE"/>
        </w:rPr>
        <w:t xml:space="preserve">se considera el </w:t>
      </w:r>
      <w:r w:rsidR="00D216D4" w:rsidRPr="00D216D4">
        <w:rPr>
          <w:i/>
          <w:sz w:val="24"/>
          <w:szCs w:val="24"/>
          <w:lang w:val="es-PE"/>
        </w:rPr>
        <w:t>peak</w:t>
      </w:r>
      <w:r w:rsidR="00D216D4">
        <w:rPr>
          <w:i/>
          <w:sz w:val="24"/>
          <w:szCs w:val="24"/>
          <w:lang w:val="es-PE"/>
        </w:rPr>
        <w:t xml:space="preserve"> </w:t>
      </w:r>
      <w:r w:rsidRPr="00D068A6">
        <w:rPr>
          <w:sz w:val="24"/>
          <w:szCs w:val="24"/>
          <w:lang w:val="es-PE"/>
        </w:rPr>
        <w:t>de</w:t>
      </w:r>
      <w:r w:rsidR="00877F9B" w:rsidRPr="00D068A6">
        <w:rPr>
          <w:sz w:val="24"/>
          <w:szCs w:val="24"/>
          <w:lang w:val="es-PE"/>
        </w:rPr>
        <w:t xml:space="preserve"> 2007 </w:t>
      </w:r>
      <w:r w:rsidRPr="00D068A6">
        <w:rPr>
          <w:sz w:val="24"/>
          <w:szCs w:val="24"/>
          <w:lang w:val="es-PE"/>
        </w:rPr>
        <w:t xml:space="preserve">como base, el crecimiento del PBI </w:t>
      </w:r>
      <w:r w:rsidR="00414444">
        <w:rPr>
          <w:sz w:val="24"/>
          <w:szCs w:val="24"/>
          <w:lang w:val="es-PE"/>
        </w:rPr>
        <w:t>efectivo</w:t>
      </w:r>
      <w:r w:rsidRPr="00D068A6">
        <w:rPr>
          <w:sz w:val="24"/>
          <w:szCs w:val="24"/>
          <w:lang w:val="es-PE"/>
        </w:rPr>
        <w:t xml:space="preserve"> entre 2007 y el siguiente </w:t>
      </w:r>
      <w:r w:rsidRPr="00414444">
        <w:rPr>
          <w:i/>
          <w:sz w:val="24"/>
          <w:szCs w:val="24"/>
          <w:lang w:val="es-PE"/>
        </w:rPr>
        <w:t>p</w:t>
      </w:r>
      <w:r w:rsidR="00414444" w:rsidRPr="00414444">
        <w:rPr>
          <w:i/>
          <w:sz w:val="24"/>
          <w:szCs w:val="24"/>
          <w:lang w:val="es-PE"/>
        </w:rPr>
        <w:t>eak</w:t>
      </w:r>
      <w:r w:rsidRPr="00D068A6">
        <w:rPr>
          <w:sz w:val="24"/>
          <w:szCs w:val="24"/>
          <w:lang w:val="es-PE"/>
        </w:rPr>
        <w:t xml:space="preserve">  en 2013 promedi</w:t>
      </w:r>
      <w:r w:rsidR="00352FDD">
        <w:rPr>
          <w:sz w:val="24"/>
          <w:szCs w:val="24"/>
          <w:lang w:val="es-PE"/>
        </w:rPr>
        <w:t>ó</w:t>
      </w:r>
      <w:r w:rsidRPr="00D068A6">
        <w:rPr>
          <w:sz w:val="24"/>
          <w:szCs w:val="24"/>
          <w:lang w:val="es-PE"/>
        </w:rPr>
        <w:t xml:space="preserve"> (nuevamente)</w:t>
      </w:r>
      <w:r w:rsidR="00877F9B" w:rsidRPr="00D068A6">
        <w:rPr>
          <w:sz w:val="24"/>
          <w:szCs w:val="24"/>
          <w:lang w:val="es-PE"/>
        </w:rPr>
        <w:t xml:space="preserve"> 3</w:t>
      </w:r>
      <w:r w:rsidRPr="00D068A6">
        <w:rPr>
          <w:sz w:val="24"/>
          <w:szCs w:val="24"/>
          <w:lang w:val="es-PE"/>
        </w:rPr>
        <w:t>,</w:t>
      </w:r>
      <w:r w:rsidR="00877F9B" w:rsidRPr="00D068A6">
        <w:rPr>
          <w:sz w:val="24"/>
          <w:szCs w:val="24"/>
          <w:lang w:val="es-PE"/>
        </w:rPr>
        <w:t xml:space="preserve">9%; </w:t>
      </w:r>
      <w:r w:rsidRPr="00D068A6">
        <w:rPr>
          <w:sz w:val="24"/>
          <w:szCs w:val="24"/>
          <w:lang w:val="es-PE"/>
        </w:rPr>
        <w:t>cuando introducimos una corrección debido a la destrucción causada por el sismo, el crecimiento promedio ajustado para</w:t>
      </w:r>
      <w:r w:rsidR="00877F9B" w:rsidRPr="00D068A6">
        <w:rPr>
          <w:sz w:val="24"/>
          <w:szCs w:val="24"/>
          <w:lang w:val="es-PE"/>
        </w:rPr>
        <w:t xml:space="preserve"> 2008-2013 </w:t>
      </w:r>
      <w:r w:rsidR="008E47A0">
        <w:rPr>
          <w:sz w:val="24"/>
          <w:szCs w:val="24"/>
          <w:lang w:val="es-PE"/>
        </w:rPr>
        <w:t>llega</w:t>
      </w:r>
      <w:r w:rsidR="008E47A0" w:rsidRPr="00D068A6">
        <w:rPr>
          <w:sz w:val="24"/>
          <w:szCs w:val="24"/>
          <w:lang w:val="es-PE"/>
        </w:rPr>
        <w:t xml:space="preserve"> </w:t>
      </w:r>
      <w:r w:rsidR="00933909">
        <w:rPr>
          <w:sz w:val="24"/>
          <w:szCs w:val="24"/>
          <w:lang w:val="es-PE"/>
        </w:rPr>
        <w:t xml:space="preserve">a </w:t>
      </w:r>
      <w:r w:rsidR="00207CD9" w:rsidRPr="00D068A6">
        <w:rPr>
          <w:sz w:val="24"/>
          <w:szCs w:val="24"/>
          <w:lang w:val="es-PE"/>
        </w:rPr>
        <w:t>4,</w:t>
      </w:r>
      <w:r w:rsidR="00877F9B" w:rsidRPr="00D068A6">
        <w:rPr>
          <w:sz w:val="24"/>
          <w:szCs w:val="24"/>
          <w:lang w:val="es-PE"/>
        </w:rPr>
        <w:t xml:space="preserve">1%.  </w:t>
      </w:r>
      <w:r w:rsidR="00046939" w:rsidRPr="00D068A6">
        <w:rPr>
          <w:sz w:val="24"/>
          <w:szCs w:val="24"/>
          <w:lang w:val="es-PE"/>
        </w:rPr>
        <w:t>En</w:t>
      </w:r>
      <w:r w:rsidRPr="00D068A6">
        <w:rPr>
          <w:sz w:val="24"/>
          <w:szCs w:val="24"/>
          <w:lang w:val="es-PE"/>
        </w:rPr>
        <w:t xml:space="preserve"> consecuencia, el crecimiento del PBI fue bastante similar en ambas etapas de este ciclo</w:t>
      </w:r>
      <w:r w:rsidR="00877F9B" w:rsidRPr="00D068A6">
        <w:rPr>
          <w:sz w:val="24"/>
          <w:szCs w:val="24"/>
          <w:lang w:val="es-PE"/>
        </w:rPr>
        <w:t xml:space="preserve"> </w:t>
      </w:r>
      <w:r w:rsidRPr="00D068A6">
        <w:rPr>
          <w:sz w:val="24"/>
          <w:szCs w:val="24"/>
          <w:lang w:val="es-PE"/>
        </w:rPr>
        <w:t xml:space="preserve">–cerca </w:t>
      </w:r>
      <w:r w:rsidR="00933909">
        <w:rPr>
          <w:sz w:val="24"/>
          <w:szCs w:val="24"/>
          <w:lang w:val="es-PE"/>
        </w:rPr>
        <w:t>de</w:t>
      </w:r>
      <w:r w:rsidRPr="00D068A6">
        <w:rPr>
          <w:sz w:val="24"/>
          <w:szCs w:val="24"/>
          <w:lang w:val="es-PE"/>
        </w:rPr>
        <w:t>l</w:t>
      </w:r>
      <w:r w:rsidR="00877F9B" w:rsidRPr="00D068A6">
        <w:rPr>
          <w:sz w:val="24"/>
          <w:szCs w:val="24"/>
          <w:lang w:val="es-PE"/>
        </w:rPr>
        <w:t xml:space="preserve"> 4%-- </w:t>
      </w:r>
      <w:r w:rsidRPr="00D068A6">
        <w:rPr>
          <w:sz w:val="24"/>
          <w:szCs w:val="24"/>
          <w:lang w:val="es-PE"/>
        </w:rPr>
        <w:t>habiéndose alcanzado el fin de ciclo en medio de desequilibrios fiscales y comerciales, como se documenta a continuación</w:t>
      </w:r>
      <w:r w:rsidR="00877F9B" w:rsidRPr="00D068A6">
        <w:rPr>
          <w:sz w:val="24"/>
          <w:szCs w:val="24"/>
          <w:lang w:val="es-PE"/>
        </w:rPr>
        <w:t>.</w:t>
      </w:r>
    </w:p>
    <w:p w14:paraId="3B57A9C3" w14:textId="77777777" w:rsidR="00877F9B" w:rsidRPr="00D068A6" w:rsidRDefault="00877F9B" w:rsidP="00877F9B">
      <w:pPr>
        <w:pStyle w:val="Prrafodelista"/>
        <w:spacing w:line="360" w:lineRule="auto"/>
        <w:ind w:left="0" w:right="57" w:firstLine="708"/>
        <w:jc w:val="both"/>
        <w:rPr>
          <w:sz w:val="24"/>
          <w:szCs w:val="24"/>
          <w:lang w:val="es-PE"/>
        </w:rPr>
      </w:pPr>
      <w:r w:rsidRPr="00D068A6">
        <w:rPr>
          <w:sz w:val="24"/>
          <w:szCs w:val="24"/>
          <w:lang w:val="es-PE"/>
        </w:rPr>
        <w:t xml:space="preserve"> </w:t>
      </w:r>
    </w:p>
    <w:p w14:paraId="2D1871D6" w14:textId="48414DE0" w:rsidR="00877F9B" w:rsidRPr="00D068A6" w:rsidRDefault="006E6423" w:rsidP="00877F9B">
      <w:pPr>
        <w:pStyle w:val="Prrafodelista"/>
        <w:numPr>
          <w:ilvl w:val="0"/>
          <w:numId w:val="2"/>
        </w:numPr>
        <w:ind w:right="57"/>
        <w:jc w:val="both"/>
        <w:rPr>
          <w:i/>
          <w:sz w:val="24"/>
          <w:szCs w:val="24"/>
          <w:lang w:val="es-PE"/>
        </w:rPr>
      </w:pPr>
      <w:r>
        <w:rPr>
          <w:i/>
          <w:sz w:val="24"/>
          <w:szCs w:val="24"/>
          <w:lang w:val="es-PE"/>
        </w:rPr>
        <w:t>P</w:t>
      </w:r>
      <w:r w:rsidR="008B7F7B" w:rsidRPr="00D068A6">
        <w:rPr>
          <w:i/>
          <w:sz w:val="24"/>
          <w:szCs w:val="24"/>
          <w:lang w:val="es-PE"/>
        </w:rPr>
        <w:t xml:space="preserve">olíticas fiscales y </w:t>
      </w:r>
      <w:r w:rsidR="00150EBE">
        <w:rPr>
          <w:i/>
          <w:sz w:val="24"/>
          <w:szCs w:val="24"/>
          <w:lang w:val="es-PE"/>
        </w:rPr>
        <w:t>cambiar</w:t>
      </w:r>
      <w:r w:rsidR="00650A33">
        <w:rPr>
          <w:i/>
          <w:sz w:val="24"/>
          <w:szCs w:val="24"/>
          <w:lang w:val="es-PE"/>
        </w:rPr>
        <w:t>i</w:t>
      </w:r>
      <w:r w:rsidR="00150EBE">
        <w:rPr>
          <w:i/>
          <w:sz w:val="24"/>
          <w:szCs w:val="24"/>
          <w:lang w:val="es-PE"/>
        </w:rPr>
        <w:t>as</w:t>
      </w:r>
      <w:r>
        <w:rPr>
          <w:i/>
          <w:sz w:val="24"/>
          <w:szCs w:val="24"/>
          <w:lang w:val="es-PE"/>
        </w:rPr>
        <w:t xml:space="preserve"> procíclicas</w:t>
      </w:r>
      <w:r w:rsidR="008B7F7B" w:rsidRPr="00D068A6">
        <w:rPr>
          <w:i/>
          <w:sz w:val="24"/>
          <w:szCs w:val="24"/>
          <w:lang w:val="es-PE"/>
        </w:rPr>
        <w:t xml:space="preserve"> en un contexto de </w:t>
      </w:r>
      <w:r w:rsidR="00650A33">
        <w:rPr>
          <w:i/>
          <w:sz w:val="24"/>
          <w:szCs w:val="24"/>
          <w:lang w:val="es-PE"/>
        </w:rPr>
        <w:t>inestabilidad</w:t>
      </w:r>
      <w:r w:rsidR="008B7F7B" w:rsidRPr="00D068A6">
        <w:rPr>
          <w:i/>
          <w:sz w:val="24"/>
          <w:szCs w:val="24"/>
          <w:lang w:val="es-PE"/>
        </w:rPr>
        <w:t xml:space="preserve"> del precio del cobre y </w:t>
      </w:r>
      <w:r w:rsidR="002439E8">
        <w:rPr>
          <w:i/>
          <w:sz w:val="24"/>
          <w:szCs w:val="24"/>
          <w:lang w:val="es-PE"/>
        </w:rPr>
        <w:t xml:space="preserve">de </w:t>
      </w:r>
      <w:r w:rsidR="008B7F7B" w:rsidRPr="00D068A6">
        <w:rPr>
          <w:i/>
          <w:sz w:val="24"/>
          <w:szCs w:val="24"/>
          <w:lang w:val="es-PE"/>
        </w:rPr>
        <w:t>los flujos de capitales</w:t>
      </w:r>
    </w:p>
    <w:p w14:paraId="1DD3F570" w14:textId="77777777" w:rsidR="00877F9B" w:rsidRPr="00D068A6" w:rsidRDefault="00877F9B" w:rsidP="00877F9B">
      <w:pPr>
        <w:jc w:val="both"/>
        <w:rPr>
          <w:sz w:val="24"/>
          <w:szCs w:val="24"/>
          <w:lang w:val="es-PE"/>
        </w:rPr>
      </w:pPr>
    </w:p>
    <w:p w14:paraId="677B833B" w14:textId="4D75B9DD" w:rsidR="00877F9B" w:rsidRPr="00D068A6" w:rsidRDefault="008B7F7B" w:rsidP="00877F9B">
      <w:pPr>
        <w:spacing w:line="360" w:lineRule="auto"/>
        <w:ind w:firstLine="709"/>
        <w:jc w:val="both"/>
        <w:rPr>
          <w:sz w:val="24"/>
          <w:szCs w:val="24"/>
          <w:lang w:val="es-PE"/>
        </w:rPr>
      </w:pPr>
      <w:r w:rsidRPr="00D068A6">
        <w:rPr>
          <w:sz w:val="24"/>
          <w:szCs w:val="24"/>
          <w:lang w:val="es-PE"/>
        </w:rPr>
        <w:t xml:space="preserve">En contraste con lo sucedido en los años 90, </w:t>
      </w:r>
      <w:r w:rsidR="008E47A0">
        <w:rPr>
          <w:sz w:val="24"/>
          <w:szCs w:val="24"/>
          <w:lang w:val="es-PE"/>
        </w:rPr>
        <w:t>el tipo</w:t>
      </w:r>
      <w:r w:rsidRPr="00D068A6">
        <w:rPr>
          <w:sz w:val="24"/>
          <w:szCs w:val="24"/>
          <w:lang w:val="es-PE"/>
        </w:rPr>
        <w:t xml:space="preserve"> de cambio </w:t>
      </w:r>
      <w:r w:rsidR="006E6423">
        <w:rPr>
          <w:sz w:val="24"/>
          <w:szCs w:val="24"/>
          <w:lang w:val="es-PE"/>
        </w:rPr>
        <w:t>estuvo en desequilibrio</w:t>
      </w:r>
      <w:r w:rsidRPr="00D068A6">
        <w:rPr>
          <w:sz w:val="24"/>
          <w:szCs w:val="24"/>
          <w:lang w:val="es-PE"/>
        </w:rPr>
        <w:t xml:space="preserve"> durante ambas etapas del ciclo de </w:t>
      </w:r>
      <w:r w:rsidR="00877F9B" w:rsidRPr="00D068A6">
        <w:rPr>
          <w:sz w:val="24"/>
          <w:szCs w:val="24"/>
          <w:lang w:val="es-PE"/>
        </w:rPr>
        <w:t>1999-2013</w:t>
      </w:r>
      <w:r w:rsidRPr="00D068A6">
        <w:rPr>
          <w:sz w:val="24"/>
          <w:szCs w:val="24"/>
          <w:lang w:val="es-PE"/>
        </w:rPr>
        <w:t xml:space="preserve">. En consecuencia, tanto </w:t>
      </w:r>
      <w:r w:rsidR="008E47A0">
        <w:rPr>
          <w:sz w:val="24"/>
          <w:szCs w:val="24"/>
          <w:lang w:val="es-PE"/>
        </w:rPr>
        <w:t>el tipo</w:t>
      </w:r>
      <w:r w:rsidRPr="00D068A6">
        <w:rPr>
          <w:sz w:val="24"/>
          <w:szCs w:val="24"/>
          <w:lang w:val="es-PE"/>
        </w:rPr>
        <w:t xml:space="preserve"> de cambio real  </w:t>
      </w:r>
      <w:r w:rsidR="00946A68" w:rsidRPr="00D068A6">
        <w:rPr>
          <w:sz w:val="24"/>
          <w:szCs w:val="24"/>
          <w:lang w:val="es-PE"/>
        </w:rPr>
        <w:t>como</w:t>
      </w:r>
      <w:r w:rsidRPr="00D068A6">
        <w:rPr>
          <w:sz w:val="24"/>
          <w:szCs w:val="24"/>
          <w:lang w:val="es-PE"/>
        </w:rPr>
        <w:t xml:space="preserve"> la cuenta corriente se comportaron de manera procíclica, </w:t>
      </w:r>
      <w:r w:rsidRPr="00E56F17">
        <w:rPr>
          <w:sz w:val="24"/>
          <w:szCs w:val="24"/>
          <w:lang w:val="es-PE"/>
        </w:rPr>
        <w:t xml:space="preserve">con evidentes </w:t>
      </w:r>
      <w:r w:rsidR="00E56F17">
        <w:rPr>
          <w:sz w:val="24"/>
          <w:szCs w:val="24"/>
          <w:lang w:val="es-PE"/>
        </w:rPr>
        <w:t>consecuencias</w:t>
      </w:r>
      <w:r w:rsidR="00352FDD">
        <w:rPr>
          <w:sz w:val="24"/>
          <w:szCs w:val="24"/>
          <w:lang w:val="es-PE"/>
        </w:rPr>
        <w:t xml:space="preserve"> desestabilizadoras de la economía real y</w:t>
      </w:r>
      <w:r w:rsidR="00E56F17">
        <w:rPr>
          <w:sz w:val="24"/>
          <w:szCs w:val="24"/>
          <w:lang w:val="es-PE"/>
        </w:rPr>
        <w:t xml:space="preserve"> sobre la </w:t>
      </w:r>
      <w:r w:rsidRPr="00D068A6">
        <w:rPr>
          <w:sz w:val="24"/>
          <w:szCs w:val="24"/>
          <w:lang w:val="es-PE"/>
        </w:rPr>
        <w:t xml:space="preserve">asignación </w:t>
      </w:r>
      <w:r w:rsidR="006E6423">
        <w:rPr>
          <w:sz w:val="24"/>
          <w:szCs w:val="24"/>
          <w:lang w:val="es-PE"/>
        </w:rPr>
        <w:t>de recursos</w:t>
      </w:r>
      <w:r w:rsidRPr="00D068A6">
        <w:rPr>
          <w:sz w:val="24"/>
          <w:szCs w:val="24"/>
          <w:lang w:val="es-PE"/>
        </w:rPr>
        <w:t xml:space="preserve">. Por el contrario, en el caso de las cuentas fiscales, </w:t>
      </w:r>
      <w:r w:rsidR="00946A68" w:rsidRPr="00D068A6">
        <w:rPr>
          <w:sz w:val="24"/>
          <w:szCs w:val="24"/>
          <w:lang w:val="es-PE"/>
        </w:rPr>
        <w:t>se produjo</w:t>
      </w:r>
      <w:r w:rsidRPr="00D068A6">
        <w:rPr>
          <w:sz w:val="24"/>
          <w:szCs w:val="24"/>
          <w:lang w:val="es-PE"/>
        </w:rPr>
        <w:t xml:space="preserve"> una </w:t>
      </w:r>
      <w:r w:rsidR="00946A68" w:rsidRPr="00D068A6">
        <w:rPr>
          <w:sz w:val="24"/>
          <w:szCs w:val="24"/>
          <w:lang w:val="es-PE"/>
        </w:rPr>
        <w:t>fuerte</w:t>
      </w:r>
      <w:r w:rsidRPr="00D068A6">
        <w:rPr>
          <w:sz w:val="24"/>
          <w:szCs w:val="24"/>
          <w:lang w:val="es-PE"/>
        </w:rPr>
        <w:t xml:space="preserve"> diferencia entre las </w:t>
      </w:r>
      <w:r w:rsidR="00946A68" w:rsidRPr="00D068A6">
        <w:rPr>
          <w:sz w:val="24"/>
          <w:szCs w:val="24"/>
          <w:lang w:val="es-PE"/>
        </w:rPr>
        <w:t xml:space="preserve">dos </w:t>
      </w:r>
      <w:r w:rsidRPr="00D068A6">
        <w:rPr>
          <w:sz w:val="24"/>
          <w:szCs w:val="24"/>
          <w:lang w:val="es-PE"/>
        </w:rPr>
        <w:t>etapas; de hecho, la política fiscal evolucionó desde un enfoque más bien neutral</w:t>
      </w:r>
      <w:r w:rsidR="00352FDD">
        <w:rPr>
          <w:sz w:val="24"/>
          <w:szCs w:val="24"/>
          <w:lang w:val="es-PE"/>
        </w:rPr>
        <w:t>, conservador contractivo,</w:t>
      </w:r>
      <w:r w:rsidRPr="00D068A6">
        <w:rPr>
          <w:sz w:val="24"/>
          <w:szCs w:val="24"/>
          <w:lang w:val="es-PE"/>
        </w:rPr>
        <w:t xml:space="preserve"> en los primeros a</w:t>
      </w:r>
      <w:r w:rsidR="00946A68" w:rsidRPr="00D068A6">
        <w:rPr>
          <w:sz w:val="24"/>
          <w:szCs w:val="24"/>
          <w:lang w:val="es-PE"/>
        </w:rPr>
        <w:t>ños de la implementación del</w:t>
      </w:r>
      <w:r w:rsidR="006E6423">
        <w:rPr>
          <w:sz w:val="24"/>
          <w:szCs w:val="24"/>
          <w:lang w:val="es-PE"/>
        </w:rPr>
        <w:t xml:space="preserve"> BFE</w:t>
      </w:r>
      <w:r w:rsidR="00352FDD">
        <w:rPr>
          <w:sz w:val="24"/>
          <w:szCs w:val="24"/>
          <w:lang w:val="es-PE"/>
        </w:rPr>
        <w:t>,</w:t>
      </w:r>
      <w:r w:rsidR="00877F9B" w:rsidRPr="00D068A6">
        <w:rPr>
          <w:sz w:val="24"/>
          <w:szCs w:val="24"/>
          <w:lang w:val="es-PE"/>
        </w:rPr>
        <w:t xml:space="preserve"> </w:t>
      </w:r>
      <w:r w:rsidRPr="00D068A6">
        <w:rPr>
          <w:sz w:val="24"/>
          <w:szCs w:val="24"/>
          <w:lang w:val="es-PE"/>
        </w:rPr>
        <w:t xml:space="preserve">hacia una posición </w:t>
      </w:r>
      <w:r w:rsidR="00352FDD">
        <w:rPr>
          <w:sz w:val="24"/>
          <w:szCs w:val="24"/>
          <w:lang w:val="es-PE"/>
        </w:rPr>
        <w:t>fuerte</w:t>
      </w:r>
      <w:r w:rsidR="006C7F8A">
        <w:rPr>
          <w:sz w:val="24"/>
          <w:szCs w:val="24"/>
          <w:lang w:val="es-PE"/>
        </w:rPr>
        <w:t xml:space="preserve">mente </w:t>
      </w:r>
      <w:r w:rsidRPr="00D068A6">
        <w:rPr>
          <w:sz w:val="24"/>
          <w:szCs w:val="24"/>
          <w:lang w:val="es-PE"/>
        </w:rPr>
        <w:lastRenderedPageBreak/>
        <w:t>contracíclica en</w:t>
      </w:r>
      <w:r w:rsidR="00877F9B" w:rsidRPr="00D068A6">
        <w:rPr>
          <w:sz w:val="24"/>
          <w:szCs w:val="24"/>
          <w:lang w:val="es-PE"/>
        </w:rPr>
        <w:t xml:space="preserve"> 2008-2010, </w:t>
      </w:r>
      <w:r w:rsidR="00946A68" w:rsidRPr="00D068A6">
        <w:rPr>
          <w:sz w:val="24"/>
          <w:szCs w:val="24"/>
          <w:lang w:val="es-PE"/>
        </w:rPr>
        <w:t>pero</w:t>
      </w:r>
      <w:r w:rsidRPr="00D068A6">
        <w:rPr>
          <w:sz w:val="24"/>
          <w:szCs w:val="24"/>
          <w:lang w:val="es-PE"/>
        </w:rPr>
        <w:t xml:space="preserve"> retrocedió hacia </w:t>
      </w:r>
      <w:r w:rsidR="00933909">
        <w:rPr>
          <w:sz w:val="24"/>
          <w:szCs w:val="24"/>
          <w:lang w:val="es-PE"/>
        </w:rPr>
        <w:t>una</w:t>
      </w:r>
      <w:r w:rsidRPr="00D068A6">
        <w:rPr>
          <w:sz w:val="24"/>
          <w:szCs w:val="24"/>
          <w:lang w:val="es-PE"/>
        </w:rPr>
        <w:t xml:space="preserve"> </w:t>
      </w:r>
      <w:r w:rsidR="00946A68" w:rsidRPr="00D068A6">
        <w:rPr>
          <w:sz w:val="24"/>
          <w:szCs w:val="24"/>
          <w:lang w:val="es-PE"/>
        </w:rPr>
        <w:t>“</w:t>
      </w:r>
      <w:r w:rsidRPr="00D068A6">
        <w:rPr>
          <w:sz w:val="24"/>
          <w:szCs w:val="24"/>
          <w:lang w:val="es-PE"/>
        </w:rPr>
        <w:t>pro</w:t>
      </w:r>
      <w:r w:rsidR="00D576E0">
        <w:rPr>
          <w:sz w:val="24"/>
          <w:szCs w:val="24"/>
          <w:lang w:val="es-PE"/>
        </w:rPr>
        <w:t>-</w:t>
      </w:r>
      <w:r w:rsidRPr="00D068A6">
        <w:rPr>
          <w:sz w:val="24"/>
          <w:szCs w:val="24"/>
          <w:lang w:val="es-PE"/>
        </w:rPr>
        <w:t>ciclicalidad</w:t>
      </w:r>
      <w:r w:rsidR="00946A68" w:rsidRPr="00D068A6">
        <w:rPr>
          <w:sz w:val="24"/>
          <w:szCs w:val="24"/>
          <w:lang w:val="es-PE"/>
        </w:rPr>
        <w:t>”</w:t>
      </w:r>
      <w:r w:rsidRPr="00D068A6">
        <w:rPr>
          <w:sz w:val="24"/>
          <w:szCs w:val="24"/>
          <w:lang w:val="es-PE"/>
        </w:rPr>
        <w:t xml:space="preserve"> expansiva en</w:t>
      </w:r>
      <w:r w:rsidR="00877F9B" w:rsidRPr="00D068A6">
        <w:rPr>
          <w:sz w:val="24"/>
          <w:szCs w:val="24"/>
          <w:lang w:val="es-PE"/>
        </w:rPr>
        <w:t xml:space="preserve"> 2011-13.</w:t>
      </w:r>
    </w:p>
    <w:p w14:paraId="08665B75" w14:textId="386831C5" w:rsidR="00877F9B" w:rsidRPr="00D068A6" w:rsidRDefault="00384CF9" w:rsidP="00877F9B">
      <w:pPr>
        <w:pStyle w:val="Prrafodelista"/>
        <w:numPr>
          <w:ilvl w:val="0"/>
          <w:numId w:val="4"/>
        </w:numPr>
        <w:spacing w:line="360" w:lineRule="auto"/>
        <w:ind w:right="57"/>
        <w:jc w:val="both"/>
        <w:rPr>
          <w:sz w:val="24"/>
          <w:szCs w:val="24"/>
          <w:u w:val="single"/>
          <w:lang w:val="es-PE"/>
        </w:rPr>
      </w:pPr>
      <w:r>
        <w:rPr>
          <w:sz w:val="24"/>
          <w:szCs w:val="24"/>
          <w:u w:val="single"/>
          <w:lang w:val="es-PE"/>
        </w:rPr>
        <w:t>El balance</w:t>
      </w:r>
      <w:r w:rsidR="008B7F7B" w:rsidRPr="00D068A6">
        <w:rPr>
          <w:sz w:val="24"/>
          <w:szCs w:val="24"/>
          <w:u w:val="single"/>
          <w:lang w:val="es-PE"/>
        </w:rPr>
        <w:t xml:space="preserve"> fiscal estructural y el sesgo pro</w:t>
      </w:r>
      <w:r w:rsidR="00D576E0">
        <w:rPr>
          <w:sz w:val="24"/>
          <w:szCs w:val="24"/>
          <w:u w:val="single"/>
          <w:lang w:val="es-PE"/>
        </w:rPr>
        <w:t>-</w:t>
      </w:r>
      <w:r w:rsidR="008B7F7B" w:rsidRPr="00D068A6">
        <w:rPr>
          <w:sz w:val="24"/>
          <w:szCs w:val="24"/>
          <w:u w:val="single"/>
          <w:lang w:val="es-PE"/>
        </w:rPr>
        <w:t>cíclico</w:t>
      </w:r>
      <w:r w:rsidR="00877F9B" w:rsidRPr="00D068A6">
        <w:rPr>
          <w:rStyle w:val="Refdenotaalpie"/>
          <w:sz w:val="24"/>
          <w:szCs w:val="24"/>
          <w:lang w:val="es-PE"/>
        </w:rPr>
        <w:footnoteReference w:id="7"/>
      </w:r>
    </w:p>
    <w:p w14:paraId="59CF55FE" w14:textId="43759D84" w:rsidR="00877F9B" w:rsidRPr="00D068A6" w:rsidRDefault="008B7F7B" w:rsidP="008B7F7B">
      <w:pPr>
        <w:spacing w:line="360" w:lineRule="auto"/>
        <w:ind w:right="57"/>
        <w:jc w:val="both"/>
        <w:rPr>
          <w:sz w:val="24"/>
          <w:szCs w:val="24"/>
          <w:lang w:val="es-PE"/>
        </w:rPr>
      </w:pPr>
      <w:r w:rsidRPr="00D068A6">
        <w:rPr>
          <w:sz w:val="24"/>
          <w:szCs w:val="24"/>
          <w:lang w:val="es-PE"/>
        </w:rPr>
        <w:t xml:space="preserve">En la primera etapa del ciclo, </w:t>
      </w:r>
      <w:r w:rsidR="00946A68" w:rsidRPr="00D068A6">
        <w:rPr>
          <w:sz w:val="24"/>
          <w:szCs w:val="24"/>
          <w:lang w:val="es-PE"/>
        </w:rPr>
        <w:t xml:space="preserve">se mantuvo una </w:t>
      </w:r>
      <w:r w:rsidRPr="00D068A6">
        <w:rPr>
          <w:sz w:val="24"/>
          <w:szCs w:val="24"/>
          <w:lang w:val="es-PE"/>
        </w:rPr>
        <w:t xml:space="preserve">disciplina fiscal </w:t>
      </w:r>
      <w:r w:rsidR="00946A68" w:rsidRPr="00D068A6">
        <w:rPr>
          <w:sz w:val="24"/>
          <w:szCs w:val="24"/>
          <w:lang w:val="es-PE"/>
        </w:rPr>
        <w:t>estricta</w:t>
      </w:r>
      <w:r w:rsidRPr="00D068A6">
        <w:rPr>
          <w:sz w:val="24"/>
          <w:szCs w:val="24"/>
          <w:lang w:val="es-PE"/>
        </w:rPr>
        <w:t xml:space="preserve"> y se acumular</w:t>
      </w:r>
      <w:r w:rsidR="006E6423">
        <w:rPr>
          <w:sz w:val="24"/>
          <w:szCs w:val="24"/>
          <w:lang w:val="es-PE"/>
        </w:rPr>
        <w:t>on</w:t>
      </w:r>
      <w:r w:rsidRPr="00D068A6">
        <w:rPr>
          <w:sz w:val="24"/>
          <w:szCs w:val="24"/>
          <w:lang w:val="es-PE"/>
        </w:rPr>
        <w:t xml:space="preserve"> </w:t>
      </w:r>
      <w:r w:rsidR="00946A68" w:rsidRPr="00D068A6">
        <w:rPr>
          <w:sz w:val="24"/>
          <w:szCs w:val="24"/>
          <w:lang w:val="es-PE"/>
        </w:rPr>
        <w:t xml:space="preserve">considerables montos en los </w:t>
      </w:r>
      <w:r w:rsidRPr="00D068A6">
        <w:rPr>
          <w:sz w:val="24"/>
          <w:szCs w:val="24"/>
          <w:lang w:val="es-PE"/>
        </w:rPr>
        <w:t>fondos soberanos provenientes de las utilidades de la empresa pública del cobre</w:t>
      </w:r>
      <w:r w:rsidR="00877F9B" w:rsidRPr="00D068A6">
        <w:rPr>
          <w:sz w:val="24"/>
          <w:szCs w:val="24"/>
          <w:lang w:val="es-PE"/>
        </w:rPr>
        <w:t xml:space="preserve"> (CODELCO) </w:t>
      </w:r>
      <w:r w:rsidRPr="00D068A6">
        <w:rPr>
          <w:sz w:val="24"/>
          <w:szCs w:val="24"/>
          <w:lang w:val="es-PE"/>
        </w:rPr>
        <w:t>y los ingresos fiscales procedentes de los productores privados, mientras que se evitó poner en práctica políticas contra</w:t>
      </w:r>
      <w:r w:rsidR="00D576E0">
        <w:rPr>
          <w:sz w:val="24"/>
          <w:szCs w:val="24"/>
          <w:lang w:val="es-PE"/>
        </w:rPr>
        <w:t>-</w:t>
      </w:r>
      <w:r w:rsidRPr="00D068A6">
        <w:rPr>
          <w:sz w:val="24"/>
          <w:szCs w:val="24"/>
          <w:lang w:val="es-PE"/>
        </w:rPr>
        <w:t>cíclicas significativas</w:t>
      </w:r>
      <w:r w:rsidR="00381F49">
        <w:rPr>
          <w:sz w:val="24"/>
          <w:szCs w:val="24"/>
          <w:lang w:val="es-PE"/>
        </w:rPr>
        <w:t>, en una economía en  situación recesiva (con BR)</w:t>
      </w:r>
      <w:r w:rsidRPr="00D068A6">
        <w:rPr>
          <w:sz w:val="24"/>
          <w:szCs w:val="24"/>
          <w:lang w:val="es-PE"/>
        </w:rPr>
        <w:t xml:space="preserve">. </w:t>
      </w:r>
      <w:r w:rsidR="006E6423">
        <w:rPr>
          <w:sz w:val="24"/>
          <w:szCs w:val="24"/>
          <w:lang w:val="es-PE"/>
        </w:rPr>
        <w:t>E</w:t>
      </w:r>
      <w:r w:rsidRPr="00D068A6">
        <w:rPr>
          <w:sz w:val="24"/>
          <w:szCs w:val="24"/>
          <w:lang w:val="es-PE"/>
        </w:rPr>
        <w:t xml:space="preserve">n la segunda etapa, la ruta experimentó </w:t>
      </w:r>
      <w:r w:rsidR="007F0AC6">
        <w:rPr>
          <w:sz w:val="24"/>
          <w:szCs w:val="24"/>
          <w:lang w:val="es-PE"/>
        </w:rPr>
        <w:t xml:space="preserve">dos </w:t>
      </w:r>
      <w:r w:rsidRPr="00D068A6">
        <w:rPr>
          <w:sz w:val="24"/>
          <w:szCs w:val="24"/>
          <w:lang w:val="es-PE"/>
        </w:rPr>
        <w:t>fuertes contrastes</w:t>
      </w:r>
      <w:r w:rsidR="00946A68" w:rsidRPr="00D068A6">
        <w:rPr>
          <w:sz w:val="24"/>
          <w:szCs w:val="24"/>
          <w:lang w:val="es-PE"/>
        </w:rPr>
        <w:t xml:space="preserve">.  </w:t>
      </w:r>
      <w:r w:rsidR="00381F49">
        <w:rPr>
          <w:sz w:val="24"/>
          <w:szCs w:val="24"/>
          <w:lang w:val="es-PE"/>
        </w:rPr>
        <w:t>P</w:t>
      </w:r>
      <w:r w:rsidRPr="00D068A6">
        <w:rPr>
          <w:sz w:val="24"/>
          <w:szCs w:val="24"/>
          <w:lang w:val="es-PE"/>
        </w:rPr>
        <w:t>rimer</w:t>
      </w:r>
      <w:r w:rsidR="00381F49">
        <w:rPr>
          <w:sz w:val="24"/>
          <w:szCs w:val="24"/>
          <w:lang w:val="es-PE"/>
        </w:rPr>
        <w:t>o</w:t>
      </w:r>
      <w:r w:rsidRPr="00D068A6">
        <w:rPr>
          <w:sz w:val="24"/>
          <w:szCs w:val="24"/>
          <w:lang w:val="es-PE"/>
        </w:rPr>
        <w:t>, el gobierno adoptó una serie de f</w:t>
      </w:r>
      <w:r w:rsidR="00946A68" w:rsidRPr="00D068A6">
        <w:rPr>
          <w:sz w:val="24"/>
          <w:szCs w:val="24"/>
          <w:lang w:val="es-PE"/>
        </w:rPr>
        <w:t>uertes políticas contra</w:t>
      </w:r>
      <w:r w:rsidR="00D576E0">
        <w:rPr>
          <w:sz w:val="24"/>
          <w:szCs w:val="24"/>
          <w:lang w:val="es-PE"/>
        </w:rPr>
        <w:t>-</w:t>
      </w:r>
      <w:r w:rsidR="00946A68" w:rsidRPr="00D068A6">
        <w:rPr>
          <w:sz w:val="24"/>
          <w:szCs w:val="24"/>
          <w:lang w:val="es-PE"/>
        </w:rPr>
        <w:t>cíclicas</w:t>
      </w:r>
      <w:r w:rsidRPr="00D068A6">
        <w:rPr>
          <w:sz w:val="24"/>
          <w:szCs w:val="24"/>
          <w:lang w:val="es-PE"/>
        </w:rPr>
        <w:t xml:space="preserve"> para enfrentar los shocks externos negativos de la crisis global de </w:t>
      </w:r>
      <w:r w:rsidR="00877F9B" w:rsidRPr="00D068A6">
        <w:rPr>
          <w:sz w:val="24"/>
          <w:szCs w:val="24"/>
          <w:lang w:val="es-PE"/>
        </w:rPr>
        <w:t xml:space="preserve"> 2008-09, </w:t>
      </w:r>
      <w:r w:rsidRPr="00D068A6">
        <w:rPr>
          <w:sz w:val="24"/>
          <w:szCs w:val="24"/>
          <w:lang w:val="es-PE"/>
        </w:rPr>
        <w:t xml:space="preserve">aprovechando los activos financieros </w:t>
      </w:r>
      <w:r w:rsidR="00933909">
        <w:rPr>
          <w:sz w:val="24"/>
          <w:szCs w:val="24"/>
          <w:lang w:val="es-PE"/>
        </w:rPr>
        <w:t xml:space="preserve">(fondos soberanos) </w:t>
      </w:r>
      <w:r w:rsidRPr="00D068A6">
        <w:rPr>
          <w:sz w:val="24"/>
          <w:szCs w:val="24"/>
          <w:lang w:val="es-PE"/>
        </w:rPr>
        <w:t>y la credibilidad que había acumulado la economía chilena, inclu</w:t>
      </w:r>
      <w:r w:rsidR="00B15DE1">
        <w:rPr>
          <w:sz w:val="24"/>
          <w:szCs w:val="24"/>
          <w:lang w:val="es-PE"/>
        </w:rPr>
        <w:t>i</w:t>
      </w:r>
      <w:r w:rsidR="00933909">
        <w:rPr>
          <w:sz w:val="24"/>
          <w:szCs w:val="24"/>
          <w:lang w:val="es-PE"/>
        </w:rPr>
        <w:t>da</w:t>
      </w:r>
      <w:r w:rsidRPr="00D068A6">
        <w:rPr>
          <w:sz w:val="24"/>
          <w:szCs w:val="24"/>
          <w:lang w:val="es-PE"/>
        </w:rPr>
        <w:t xml:space="preserve"> su</w:t>
      </w:r>
      <w:r w:rsidR="007F0AC6">
        <w:rPr>
          <w:sz w:val="24"/>
          <w:szCs w:val="24"/>
          <w:lang w:val="es-PE"/>
        </w:rPr>
        <w:t xml:space="preserve"> </w:t>
      </w:r>
      <w:r w:rsidRPr="00D068A6">
        <w:rPr>
          <w:sz w:val="24"/>
          <w:szCs w:val="24"/>
          <w:lang w:val="es-PE"/>
        </w:rPr>
        <w:t>posición acreedora</w:t>
      </w:r>
      <w:r w:rsidR="007F0AC6">
        <w:rPr>
          <w:sz w:val="24"/>
          <w:szCs w:val="24"/>
          <w:lang w:val="es-PE"/>
        </w:rPr>
        <w:t xml:space="preserve"> neta</w:t>
      </w:r>
      <w:r w:rsidRPr="00D068A6">
        <w:rPr>
          <w:sz w:val="24"/>
          <w:szCs w:val="24"/>
          <w:lang w:val="es-PE"/>
        </w:rPr>
        <w:t xml:space="preserve">. </w:t>
      </w:r>
      <w:r w:rsidR="00877F9B" w:rsidRPr="00D068A6">
        <w:rPr>
          <w:sz w:val="24"/>
          <w:szCs w:val="24"/>
          <w:lang w:val="es-PE"/>
        </w:rPr>
        <w:t>(</w:t>
      </w:r>
      <w:r w:rsidR="00946A68" w:rsidRPr="00D068A6">
        <w:rPr>
          <w:sz w:val="24"/>
          <w:szCs w:val="24"/>
          <w:lang w:val="es-PE"/>
        </w:rPr>
        <w:t xml:space="preserve">Ver </w:t>
      </w:r>
      <w:r w:rsidR="00ED7230">
        <w:rPr>
          <w:sz w:val="24"/>
          <w:szCs w:val="24"/>
          <w:lang w:val="es-PE"/>
        </w:rPr>
        <w:t>cuadro</w:t>
      </w:r>
      <w:r w:rsidR="00877F9B" w:rsidRPr="00D068A6">
        <w:rPr>
          <w:sz w:val="24"/>
          <w:szCs w:val="24"/>
          <w:lang w:val="es-PE"/>
        </w:rPr>
        <w:t xml:space="preserve"> </w:t>
      </w:r>
      <w:r w:rsidR="00B3430E" w:rsidRPr="00D068A6">
        <w:rPr>
          <w:sz w:val="24"/>
          <w:szCs w:val="24"/>
          <w:lang w:val="es-PE"/>
        </w:rPr>
        <w:t>4</w:t>
      </w:r>
      <w:r w:rsidR="008161A0" w:rsidRPr="00D068A6">
        <w:rPr>
          <w:sz w:val="24"/>
          <w:szCs w:val="24"/>
          <w:lang w:val="es-PE"/>
        </w:rPr>
        <w:t xml:space="preserve">, </w:t>
      </w:r>
      <w:r w:rsidR="00946A68" w:rsidRPr="00D068A6">
        <w:rPr>
          <w:sz w:val="24"/>
          <w:szCs w:val="24"/>
          <w:lang w:val="es-PE"/>
        </w:rPr>
        <w:t>más abajo</w:t>
      </w:r>
      <w:r w:rsidR="00877F9B" w:rsidRPr="00D068A6">
        <w:rPr>
          <w:sz w:val="24"/>
          <w:szCs w:val="24"/>
          <w:lang w:val="es-PE"/>
        </w:rPr>
        <w:t xml:space="preserve">). </w:t>
      </w:r>
      <w:r w:rsidRPr="00D068A6">
        <w:rPr>
          <w:sz w:val="24"/>
          <w:szCs w:val="24"/>
          <w:lang w:val="es-PE"/>
        </w:rPr>
        <w:t xml:space="preserve">A pesar de la disminución de los ingresos tributarios, el gasto fiscal en inversiones y transferencias </w:t>
      </w:r>
      <w:r w:rsidR="00946A68" w:rsidRPr="00D068A6">
        <w:rPr>
          <w:sz w:val="24"/>
          <w:szCs w:val="24"/>
          <w:lang w:val="es-PE"/>
        </w:rPr>
        <w:t>aumentó</w:t>
      </w:r>
      <w:r w:rsidR="00877F9B" w:rsidRPr="00D068A6">
        <w:rPr>
          <w:sz w:val="24"/>
          <w:szCs w:val="24"/>
          <w:lang w:val="es-PE"/>
        </w:rPr>
        <w:t>,</w:t>
      </w:r>
      <w:r w:rsidR="00B93AE3" w:rsidRPr="00D068A6">
        <w:rPr>
          <w:rStyle w:val="Refdenotaalpie"/>
          <w:sz w:val="24"/>
          <w:szCs w:val="24"/>
          <w:lang w:val="es-PE"/>
        </w:rPr>
        <w:footnoteReference w:id="8"/>
      </w:r>
      <w:r w:rsidR="00877F9B" w:rsidRPr="00D068A6">
        <w:rPr>
          <w:sz w:val="24"/>
          <w:szCs w:val="24"/>
          <w:lang w:val="es-PE"/>
        </w:rPr>
        <w:t xml:space="preserve"> </w:t>
      </w:r>
      <w:r w:rsidRPr="00D068A6">
        <w:rPr>
          <w:sz w:val="24"/>
          <w:szCs w:val="24"/>
          <w:lang w:val="es-PE"/>
        </w:rPr>
        <w:t>y se reduj</w:t>
      </w:r>
      <w:r w:rsidR="007F0AC6">
        <w:rPr>
          <w:sz w:val="24"/>
          <w:szCs w:val="24"/>
          <w:lang w:val="es-PE"/>
        </w:rPr>
        <w:t>eron</w:t>
      </w:r>
      <w:r w:rsidRPr="00D068A6">
        <w:rPr>
          <w:sz w:val="24"/>
          <w:szCs w:val="24"/>
          <w:lang w:val="es-PE"/>
        </w:rPr>
        <w:t xml:space="preserve"> temporalmente algunos impuestos. </w:t>
      </w:r>
      <w:r w:rsidR="00877F9B" w:rsidRPr="00D068A6">
        <w:rPr>
          <w:sz w:val="24"/>
          <w:szCs w:val="24"/>
          <w:lang w:val="es-PE"/>
        </w:rPr>
        <w:t xml:space="preserve"> </w:t>
      </w:r>
      <w:r w:rsidRPr="00D068A6">
        <w:rPr>
          <w:sz w:val="24"/>
          <w:szCs w:val="24"/>
          <w:lang w:val="es-PE"/>
        </w:rPr>
        <w:t xml:space="preserve">En 2009 se generó un </w:t>
      </w:r>
      <w:r w:rsidR="00046939" w:rsidRPr="00D068A6">
        <w:rPr>
          <w:sz w:val="24"/>
          <w:szCs w:val="24"/>
          <w:lang w:val="es-PE"/>
        </w:rPr>
        <w:t>déficit</w:t>
      </w:r>
      <w:r w:rsidRPr="00D068A6">
        <w:rPr>
          <w:sz w:val="24"/>
          <w:szCs w:val="24"/>
          <w:lang w:val="es-PE"/>
        </w:rPr>
        <w:t xml:space="preserve"> </w:t>
      </w:r>
      <w:r w:rsidR="007F0AC6">
        <w:rPr>
          <w:sz w:val="24"/>
          <w:szCs w:val="24"/>
          <w:lang w:val="es-PE"/>
        </w:rPr>
        <w:t>efectivo</w:t>
      </w:r>
      <w:r w:rsidRPr="00D068A6">
        <w:rPr>
          <w:sz w:val="24"/>
          <w:szCs w:val="24"/>
          <w:lang w:val="es-PE"/>
        </w:rPr>
        <w:t xml:space="preserve"> del </w:t>
      </w:r>
      <w:r w:rsidR="000A1117" w:rsidRPr="00D068A6">
        <w:rPr>
          <w:sz w:val="24"/>
          <w:szCs w:val="24"/>
          <w:lang w:val="es-PE"/>
        </w:rPr>
        <w:t>4,</w:t>
      </w:r>
      <w:r w:rsidR="00877F9B" w:rsidRPr="00D068A6">
        <w:rPr>
          <w:sz w:val="24"/>
          <w:szCs w:val="24"/>
          <w:lang w:val="es-PE"/>
        </w:rPr>
        <w:t xml:space="preserve">4% </w:t>
      </w:r>
      <w:r w:rsidRPr="00D068A6">
        <w:rPr>
          <w:sz w:val="24"/>
          <w:szCs w:val="24"/>
          <w:lang w:val="es-PE"/>
        </w:rPr>
        <w:t xml:space="preserve">del PBI en contraste con el gran </w:t>
      </w:r>
      <w:r w:rsidR="00946A68" w:rsidRPr="00D068A6">
        <w:rPr>
          <w:sz w:val="24"/>
          <w:szCs w:val="24"/>
          <w:lang w:val="es-PE"/>
        </w:rPr>
        <w:t>superávit</w:t>
      </w:r>
      <w:r w:rsidRPr="00D068A6">
        <w:rPr>
          <w:sz w:val="24"/>
          <w:szCs w:val="24"/>
          <w:lang w:val="es-PE"/>
        </w:rPr>
        <w:t xml:space="preserve"> de 5,4% de</w:t>
      </w:r>
      <w:r w:rsidR="00877F9B" w:rsidRPr="00D068A6">
        <w:rPr>
          <w:sz w:val="24"/>
          <w:szCs w:val="24"/>
          <w:lang w:val="es-PE"/>
        </w:rPr>
        <w:t xml:space="preserve"> 2004-07. </w:t>
      </w:r>
      <w:r w:rsidRPr="00D068A6">
        <w:rPr>
          <w:sz w:val="24"/>
          <w:szCs w:val="24"/>
          <w:lang w:val="es-PE"/>
        </w:rPr>
        <w:t xml:space="preserve"> Este comportamiento </w:t>
      </w:r>
      <w:r w:rsidR="00D576E0">
        <w:rPr>
          <w:sz w:val="24"/>
          <w:szCs w:val="24"/>
          <w:lang w:val="es-PE"/>
        </w:rPr>
        <w:t>d</w:t>
      </w:r>
      <w:r w:rsidRPr="00D068A6">
        <w:rPr>
          <w:sz w:val="24"/>
          <w:szCs w:val="24"/>
          <w:lang w:val="es-PE"/>
        </w:rPr>
        <w:t xml:space="preserve">el </w:t>
      </w:r>
      <w:r w:rsidR="007F0AC6">
        <w:rPr>
          <w:sz w:val="24"/>
          <w:szCs w:val="24"/>
          <w:lang w:val="es-PE"/>
        </w:rPr>
        <w:t>gobierno</w:t>
      </w:r>
      <w:r w:rsidR="00C2430C">
        <w:rPr>
          <w:sz w:val="24"/>
          <w:szCs w:val="24"/>
          <w:lang w:val="es-PE"/>
        </w:rPr>
        <w:t>,</w:t>
      </w:r>
      <w:r w:rsidR="00C2430C" w:rsidRPr="00C2430C">
        <w:rPr>
          <w:sz w:val="24"/>
          <w:szCs w:val="24"/>
          <w:lang w:val="es-PE"/>
        </w:rPr>
        <w:t xml:space="preserve"> </w:t>
      </w:r>
      <w:r w:rsidR="00C2430C">
        <w:rPr>
          <w:sz w:val="24"/>
          <w:szCs w:val="24"/>
          <w:lang w:val="es-PE"/>
        </w:rPr>
        <w:t xml:space="preserve">que </w:t>
      </w:r>
      <w:r w:rsidR="00C2430C" w:rsidRPr="00D068A6">
        <w:rPr>
          <w:sz w:val="24"/>
          <w:szCs w:val="24"/>
          <w:lang w:val="es-PE"/>
        </w:rPr>
        <w:t>se financió con la repatriación de fondos soberanos</w:t>
      </w:r>
      <w:r w:rsidR="00C2430C">
        <w:rPr>
          <w:sz w:val="24"/>
          <w:szCs w:val="24"/>
          <w:lang w:val="es-PE"/>
        </w:rPr>
        <w:t>,</w:t>
      </w:r>
      <w:r w:rsidRPr="00D068A6">
        <w:rPr>
          <w:sz w:val="24"/>
          <w:szCs w:val="24"/>
          <w:lang w:val="es-PE"/>
        </w:rPr>
        <w:t xml:space="preserve"> fue parcialmente co</w:t>
      </w:r>
      <w:r w:rsidR="00381F49">
        <w:rPr>
          <w:sz w:val="24"/>
          <w:szCs w:val="24"/>
          <w:lang w:val="es-PE"/>
        </w:rPr>
        <w:t>ntrarrestado</w:t>
      </w:r>
      <w:r w:rsidRPr="00D068A6">
        <w:rPr>
          <w:sz w:val="24"/>
          <w:szCs w:val="24"/>
          <w:lang w:val="es-PE"/>
        </w:rPr>
        <w:t xml:space="preserve"> </w:t>
      </w:r>
      <w:r w:rsidR="00381F49">
        <w:rPr>
          <w:sz w:val="24"/>
          <w:szCs w:val="24"/>
          <w:lang w:val="es-PE"/>
        </w:rPr>
        <w:t>por</w:t>
      </w:r>
      <w:r w:rsidRPr="00D068A6">
        <w:rPr>
          <w:sz w:val="24"/>
          <w:szCs w:val="24"/>
          <w:lang w:val="es-PE"/>
        </w:rPr>
        <w:t xml:space="preserve"> </w:t>
      </w:r>
      <w:r w:rsidR="009817C5">
        <w:rPr>
          <w:sz w:val="24"/>
          <w:szCs w:val="24"/>
          <w:lang w:val="es-PE"/>
        </w:rPr>
        <w:t xml:space="preserve">los </w:t>
      </w:r>
      <w:r w:rsidRPr="00D068A6">
        <w:rPr>
          <w:sz w:val="24"/>
          <w:szCs w:val="24"/>
          <w:lang w:val="es-PE"/>
        </w:rPr>
        <w:t xml:space="preserve">espectaculares </w:t>
      </w:r>
      <w:r w:rsidR="00BA7516">
        <w:rPr>
          <w:sz w:val="24"/>
          <w:szCs w:val="24"/>
          <w:lang w:val="es-PE"/>
        </w:rPr>
        <w:t>egresos</w:t>
      </w:r>
      <w:r w:rsidR="007F0AC6">
        <w:rPr>
          <w:sz w:val="24"/>
          <w:szCs w:val="24"/>
          <w:lang w:val="es-PE"/>
        </w:rPr>
        <w:t xml:space="preserve"> de </w:t>
      </w:r>
      <w:r w:rsidR="006C7F8A">
        <w:rPr>
          <w:sz w:val="24"/>
          <w:szCs w:val="24"/>
          <w:lang w:val="es-PE"/>
        </w:rPr>
        <w:t xml:space="preserve">los </w:t>
      </w:r>
      <w:r w:rsidR="007F0AC6">
        <w:rPr>
          <w:sz w:val="24"/>
          <w:szCs w:val="24"/>
          <w:lang w:val="es-PE"/>
        </w:rPr>
        <w:t xml:space="preserve">fondos </w:t>
      </w:r>
      <w:r w:rsidRPr="00D068A6">
        <w:rPr>
          <w:sz w:val="24"/>
          <w:szCs w:val="24"/>
          <w:lang w:val="es-PE"/>
        </w:rPr>
        <w:t xml:space="preserve">de las </w:t>
      </w:r>
      <w:r w:rsidR="00BA7516">
        <w:rPr>
          <w:sz w:val="24"/>
          <w:szCs w:val="24"/>
          <w:lang w:val="es-PE"/>
        </w:rPr>
        <w:t>administradoras</w:t>
      </w:r>
      <w:r w:rsidRPr="00D068A6">
        <w:rPr>
          <w:sz w:val="24"/>
          <w:szCs w:val="24"/>
          <w:lang w:val="es-PE"/>
        </w:rPr>
        <w:t xml:space="preserve"> privadas de </w:t>
      </w:r>
      <w:r w:rsidR="00B15DE1">
        <w:rPr>
          <w:sz w:val="24"/>
          <w:szCs w:val="24"/>
          <w:lang w:val="es-PE"/>
        </w:rPr>
        <w:t xml:space="preserve">fondos de </w:t>
      </w:r>
      <w:r w:rsidRPr="00D068A6">
        <w:rPr>
          <w:sz w:val="24"/>
          <w:szCs w:val="24"/>
          <w:lang w:val="es-PE"/>
        </w:rPr>
        <w:t>p</w:t>
      </w:r>
      <w:r w:rsidR="00381F49">
        <w:rPr>
          <w:sz w:val="24"/>
          <w:szCs w:val="24"/>
          <w:lang w:val="es-PE"/>
        </w:rPr>
        <w:t>revisionales</w:t>
      </w:r>
      <w:r w:rsidRPr="00D068A6">
        <w:rPr>
          <w:sz w:val="24"/>
          <w:szCs w:val="24"/>
          <w:lang w:val="es-PE"/>
        </w:rPr>
        <w:t xml:space="preserve"> (AFP</w:t>
      </w:r>
      <w:r w:rsidR="00B541AD" w:rsidRPr="00D068A6">
        <w:rPr>
          <w:sz w:val="24"/>
          <w:szCs w:val="24"/>
          <w:lang w:val="es-PE"/>
        </w:rPr>
        <w:t>, 9</w:t>
      </w:r>
      <w:r w:rsidRPr="00D068A6">
        <w:rPr>
          <w:sz w:val="24"/>
          <w:szCs w:val="24"/>
          <w:lang w:val="es-PE"/>
        </w:rPr>
        <w:t>,</w:t>
      </w:r>
      <w:r w:rsidR="0096393A" w:rsidRPr="00D068A6">
        <w:rPr>
          <w:sz w:val="24"/>
          <w:szCs w:val="24"/>
          <w:lang w:val="es-PE"/>
        </w:rPr>
        <w:t>6</w:t>
      </w:r>
      <w:r w:rsidR="00B541AD" w:rsidRPr="00D068A6">
        <w:rPr>
          <w:sz w:val="24"/>
          <w:szCs w:val="24"/>
          <w:lang w:val="es-PE"/>
        </w:rPr>
        <w:t xml:space="preserve">% </w:t>
      </w:r>
      <w:r w:rsidRPr="00D068A6">
        <w:rPr>
          <w:sz w:val="24"/>
          <w:szCs w:val="24"/>
          <w:lang w:val="es-PE"/>
        </w:rPr>
        <w:t>del PBI</w:t>
      </w:r>
      <w:r w:rsidR="00877F9B" w:rsidRPr="00D068A6">
        <w:rPr>
          <w:sz w:val="24"/>
          <w:szCs w:val="24"/>
          <w:lang w:val="es-PE"/>
        </w:rPr>
        <w:t xml:space="preserve">).  </w:t>
      </w:r>
    </w:p>
    <w:p w14:paraId="0222DDD9" w14:textId="3CADE0A8" w:rsidR="00877F9B" w:rsidRPr="00D068A6" w:rsidRDefault="00EE1FE2" w:rsidP="008161A0">
      <w:pPr>
        <w:spacing w:line="360" w:lineRule="auto"/>
        <w:ind w:right="57"/>
        <w:jc w:val="both"/>
        <w:rPr>
          <w:sz w:val="24"/>
          <w:szCs w:val="24"/>
          <w:lang w:val="es-PE"/>
        </w:rPr>
      </w:pPr>
      <w:r w:rsidRPr="00D068A6">
        <w:rPr>
          <w:sz w:val="24"/>
          <w:szCs w:val="24"/>
          <w:lang w:val="es-PE"/>
        </w:rPr>
        <w:tab/>
      </w:r>
      <w:r w:rsidR="00246BAA" w:rsidRPr="00D068A6">
        <w:rPr>
          <w:sz w:val="24"/>
          <w:szCs w:val="24"/>
          <w:lang w:val="es-PE"/>
        </w:rPr>
        <w:t xml:space="preserve">Hacia el </w:t>
      </w:r>
      <w:r w:rsidR="006F3598" w:rsidRPr="00D068A6">
        <w:rPr>
          <w:sz w:val="24"/>
          <w:szCs w:val="24"/>
          <w:lang w:val="es-PE"/>
        </w:rPr>
        <w:t>último</w:t>
      </w:r>
      <w:r w:rsidR="00246BAA" w:rsidRPr="00D068A6">
        <w:rPr>
          <w:sz w:val="24"/>
          <w:szCs w:val="24"/>
          <w:lang w:val="es-PE"/>
        </w:rPr>
        <w:t xml:space="preserve"> </w:t>
      </w:r>
      <w:r w:rsidR="000A1117" w:rsidRPr="00D068A6">
        <w:rPr>
          <w:sz w:val="24"/>
          <w:szCs w:val="24"/>
          <w:lang w:val="es-PE"/>
        </w:rPr>
        <w:t>trimestre</w:t>
      </w:r>
      <w:r w:rsidR="00246BAA" w:rsidRPr="00D068A6">
        <w:rPr>
          <w:sz w:val="24"/>
          <w:szCs w:val="24"/>
          <w:lang w:val="es-PE"/>
        </w:rPr>
        <w:t xml:space="preserve"> de 2009, la actividad económica interna ya </w:t>
      </w:r>
      <w:r w:rsidR="000A1117" w:rsidRPr="00D068A6">
        <w:rPr>
          <w:sz w:val="24"/>
          <w:szCs w:val="24"/>
          <w:lang w:val="es-PE"/>
        </w:rPr>
        <w:t>se re</w:t>
      </w:r>
      <w:r w:rsidR="00BA7516">
        <w:rPr>
          <w:sz w:val="24"/>
          <w:szCs w:val="24"/>
          <w:lang w:val="es-PE"/>
        </w:rPr>
        <w:t>activaba</w:t>
      </w:r>
      <w:r w:rsidR="000A1117" w:rsidRPr="00D068A6">
        <w:rPr>
          <w:sz w:val="24"/>
          <w:szCs w:val="24"/>
          <w:lang w:val="es-PE"/>
        </w:rPr>
        <w:t xml:space="preserve"> significativamente</w:t>
      </w:r>
      <w:r w:rsidR="00877F9B" w:rsidRPr="00D068A6">
        <w:rPr>
          <w:sz w:val="24"/>
          <w:szCs w:val="24"/>
          <w:lang w:val="es-PE"/>
        </w:rPr>
        <w:t xml:space="preserve"> (F</w:t>
      </w:r>
      <w:r w:rsidR="00B541AD" w:rsidRPr="00D068A6">
        <w:rPr>
          <w:sz w:val="24"/>
          <w:szCs w:val="24"/>
          <w:lang w:val="es-PE"/>
        </w:rPr>
        <w:t>french-</w:t>
      </w:r>
      <w:r w:rsidR="00877F9B" w:rsidRPr="00D068A6">
        <w:rPr>
          <w:sz w:val="24"/>
          <w:szCs w:val="24"/>
          <w:lang w:val="es-PE"/>
        </w:rPr>
        <w:t>D</w:t>
      </w:r>
      <w:r w:rsidR="00B541AD" w:rsidRPr="00D068A6">
        <w:rPr>
          <w:sz w:val="24"/>
          <w:szCs w:val="24"/>
          <w:lang w:val="es-PE"/>
        </w:rPr>
        <w:t>avis</w:t>
      </w:r>
      <w:r w:rsidR="00877F9B" w:rsidRPr="00D068A6">
        <w:rPr>
          <w:sz w:val="24"/>
          <w:szCs w:val="24"/>
          <w:lang w:val="es-PE"/>
        </w:rPr>
        <w:t xml:space="preserve">, 2014, </w:t>
      </w:r>
      <w:r w:rsidR="00B15DE1">
        <w:rPr>
          <w:sz w:val="24"/>
          <w:szCs w:val="24"/>
          <w:lang w:val="es-PE"/>
        </w:rPr>
        <w:t>Cuadro</w:t>
      </w:r>
      <w:r w:rsidR="00877F9B" w:rsidRPr="00D068A6">
        <w:rPr>
          <w:sz w:val="24"/>
          <w:szCs w:val="24"/>
          <w:lang w:val="es-PE"/>
        </w:rPr>
        <w:t xml:space="preserve"> X.</w:t>
      </w:r>
      <w:r w:rsidR="00085AE9" w:rsidRPr="00D068A6">
        <w:rPr>
          <w:sz w:val="24"/>
          <w:szCs w:val="24"/>
          <w:lang w:val="es-PE"/>
        </w:rPr>
        <w:t>4</w:t>
      </w:r>
      <w:r w:rsidR="00877F9B" w:rsidRPr="00D068A6">
        <w:rPr>
          <w:sz w:val="24"/>
          <w:szCs w:val="24"/>
          <w:lang w:val="es-PE"/>
        </w:rPr>
        <w:t xml:space="preserve">).  </w:t>
      </w:r>
    </w:p>
    <w:p w14:paraId="1DCC0388" w14:textId="172933B3" w:rsidR="003B7A2F" w:rsidRDefault="00246BAA" w:rsidP="00877F9B">
      <w:pPr>
        <w:spacing w:line="360" w:lineRule="auto"/>
        <w:ind w:firstLine="709"/>
        <w:jc w:val="both"/>
        <w:rPr>
          <w:sz w:val="24"/>
          <w:szCs w:val="24"/>
          <w:lang w:val="es-PE"/>
        </w:rPr>
      </w:pPr>
      <w:r w:rsidRPr="00D068A6">
        <w:rPr>
          <w:sz w:val="24"/>
          <w:szCs w:val="24"/>
          <w:lang w:val="es-PE"/>
        </w:rPr>
        <w:t xml:space="preserve">Debido al </w:t>
      </w:r>
      <w:r w:rsidR="009966DE">
        <w:rPr>
          <w:sz w:val="24"/>
          <w:szCs w:val="24"/>
          <w:lang w:val="es-PE"/>
        </w:rPr>
        <w:t xml:space="preserve">terremoto </w:t>
      </w:r>
      <w:r w:rsidRPr="00D068A6">
        <w:rPr>
          <w:sz w:val="24"/>
          <w:szCs w:val="24"/>
          <w:lang w:val="es-PE"/>
        </w:rPr>
        <w:t>del 27 de febrero</w:t>
      </w:r>
      <w:r w:rsidR="00BA7516">
        <w:rPr>
          <w:sz w:val="24"/>
          <w:szCs w:val="24"/>
          <w:lang w:val="es-PE"/>
        </w:rPr>
        <w:t xml:space="preserve"> de 2010</w:t>
      </w:r>
      <w:r w:rsidRPr="00D068A6">
        <w:rPr>
          <w:sz w:val="24"/>
          <w:szCs w:val="24"/>
          <w:lang w:val="es-PE"/>
        </w:rPr>
        <w:t>, el PBI real retrocedió durante algunas semanas, pero pronto se re</w:t>
      </w:r>
      <w:r w:rsidR="00C2430C">
        <w:rPr>
          <w:sz w:val="24"/>
          <w:szCs w:val="24"/>
          <w:lang w:val="es-PE"/>
        </w:rPr>
        <w:t>activ</w:t>
      </w:r>
      <w:r w:rsidRPr="00D068A6">
        <w:rPr>
          <w:sz w:val="24"/>
          <w:szCs w:val="24"/>
          <w:lang w:val="es-PE"/>
        </w:rPr>
        <w:t xml:space="preserve">ó </w:t>
      </w:r>
      <w:r w:rsidR="000A1117" w:rsidRPr="00D068A6">
        <w:rPr>
          <w:sz w:val="24"/>
          <w:szCs w:val="24"/>
          <w:lang w:val="es-PE"/>
        </w:rPr>
        <w:t xml:space="preserve">gracias </w:t>
      </w:r>
      <w:r w:rsidR="00BA7516">
        <w:rPr>
          <w:sz w:val="24"/>
          <w:szCs w:val="24"/>
          <w:lang w:val="es-PE"/>
        </w:rPr>
        <w:t>al aumento adicional</w:t>
      </w:r>
      <w:r w:rsidRPr="00D068A6">
        <w:rPr>
          <w:sz w:val="24"/>
          <w:szCs w:val="24"/>
          <w:lang w:val="es-PE"/>
        </w:rPr>
        <w:t xml:space="preserve"> del gasto fiscal </w:t>
      </w:r>
      <w:r w:rsidR="00BA7516">
        <w:rPr>
          <w:sz w:val="24"/>
          <w:szCs w:val="24"/>
          <w:lang w:val="es-PE"/>
        </w:rPr>
        <w:t>en</w:t>
      </w:r>
      <w:r w:rsidRPr="00D068A6">
        <w:rPr>
          <w:sz w:val="24"/>
          <w:szCs w:val="24"/>
          <w:lang w:val="es-PE"/>
        </w:rPr>
        <w:t xml:space="preserve"> la reconstrucción pos</w:t>
      </w:r>
      <w:r w:rsidR="009966DE">
        <w:rPr>
          <w:sz w:val="24"/>
          <w:szCs w:val="24"/>
          <w:lang w:val="es-PE"/>
        </w:rPr>
        <w:t>t terremoto</w:t>
      </w:r>
      <w:r w:rsidR="00BA7516">
        <w:rPr>
          <w:sz w:val="24"/>
          <w:szCs w:val="24"/>
          <w:lang w:val="es-PE"/>
        </w:rPr>
        <w:t xml:space="preserve"> y a la creciente </w:t>
      </w:r>
      <w:r w:rsidR="009966DE">
        <w:rPr>
          <w:sz w:val="24"/>
          <w:szCs w:val="24"/>
          <w:lang w:val="es-PE"/>
        </w:rPr>
        <w:t xml:space="preserve">subida </w:t>
      </w:r>
      <w:r w:rsidR="00BA7516">
        <w:rPr>
          <w:sz w:val="24"/>
          <w:szCs w:val="24"/>
          <w:lang w:val="es-PE"/>
        </w:rPr>
        <w:t>del precio internacional del cobre</w:t>
      </w:r>
      <w:r w:rsidRPr="00D068A6">
        <w:rPr>
          <w:sz w:val="24"/>
          <w:szCs w:val="24"/>
          <w:lang w:val="es-PE"/>
        </w:rPr>
        <w:t xml:space="preserve">. En vista de que todavía se contaba con </w:t>
      </w:r>
      <w:r w:rsidR="009966DE">
        <w:rPr>
          <w:sz w:val="24"/>
          <w:szCs w:val="24"/>
          <w:lang w:val="es-PE"/>
        </w:rPr>
        <w:t xml:space="preserve">una </w:t>
      </w:r>
      <w:r w:rsidRPr="00D068A6">
        <w:rPr>
          <w:sz w:val="24"/>
          <w:szCs w:val="24"/>
          <w:lang w:val="es-PE"/>
        </w:rPr>
        <w:t xml:space="preserve">significativa capacidad instalada subutilizada, la aceleración del gasto público, que impulsó la demanda </w:t>
      </w:r>
      <w:r w:rsidR="0054057D">
        <w:rPr>
          <w:sz w:val="24"/>
          <w:szCs w:val="24"/>
          <w:lang w:val="es-PE"/>
        </w:rPr>
        <w:t>interna,</w:t>
      </w:r>
      <w:r w:rsidRPr="00D068A6">
        <w:rPr>
          <w:sz w:val="24"/>
          <w:szCs w:val="24"/>
          <w:lang w:val="es-PE"/>
        </w:rPr>
        <w:t xml:space="preserve"> era consistente con un </w:t>
      </w:r>
      <w:r w:rsidR="000A1117" w:rsidRPr="00D068A6">
        <w:rPr>
          <w:sz w:val="24"/>
          <w:szCs w:val="24"/>
          <w:lang w:val="es-PE"/>
        </w:rPr>
        <w:t>desplazamiento</w:t>
      </w:r>
      <w:r w:rsidRPr="00D068A6">
        <w:rPr>
          <w:sz w:val="24"/>
          <w:szCs w:val="24"/>
          <w:lang w:val="es-PE"/>
        </w:rPr>
        <w:t xml:space="preserve"> hacia el equilibrio macroeconómico, </w:t>
      </w:r>
      <w:r w:rsidR="0054057D">
        <w:rPr>
          <w:sz w:val="24"/>
          <w:szCs w:val="24"/>
          <w:lang w:val="es-PE"/>
        </w:rPr>
        <w:t>mientras</w:t>
      </w:r>
      <w:r w:rsidRPr="00D068A6">
        <w:rPr>
          <w:sz w:val="24"/>
          <w:szCs w:val="24"/>
          <w:lang w:val="es-PE"/>
        </w:rPr>
        <w:t xml:space="preserve"> </w:t>
      </w:r>
      <w:r w:rsidR="009966DE">
        <w:rPr>
          <w:sz w:val="24"/>
          <w:szCs w:val="24"/>
          <w:lang w:val="es-PE"/>
        </w:rPr>
        <w:t>subsistiera la</w:t>
      </w:r>
      <w:r w:rsidR="000A1117" w:rsidRPr="00D068A6">
        <w:rPr>
          <w:sz w:val="24"/>
          <w:szCs w:val="24"/>
          <w:lang w:val="es-PE"/>
        </w:rPr>
        <w:t xml:space="preserve"> </w:t>
      </w:r>
      <w:r w:rsidR="000A1117" w:rsidRPr="003B7A2F">
        <w:rPr>
          <w:sz w:val="24"/>
          <w:szCs w:val="24"/>
          <w:lang w:val="es-PE"/>
        </w:rPr>
        <w:t>brecha recesiva</w:t>
      </w:r>
      <w:r w:rsidRPr="00D068A6">
        <w:rPr>
          <w:sz w:val="24"/>
          <w:szCs w:val="24"/>
          <w:lang w:val="es-PE"/>
        </w:rPr>
        <w:t xml:space="preserve">. </w:t>
      </w:r>
    </w:p>
    <w:p w14:paraId="24CCCAE5" w14:textId="37623879" w:rsidR="00872139" w:rsidRPr="00D068A6" w:rsidRDefault="00246BAA" w:rsidP="00877F9B">
      <w:pPr>
        <w:spacing w:line="360" w:lineRule="auto"/>
        <w:ind w:firstLine="709"/>
        <w:jc w:val="both"/>
        <w:rPr>
          <w:sz w:val="24"/>
          <w:szCs w:val="24"/>
          <w:lang w:val="es-PE"/>
        </w:rPr>
      </w:pPr>
      <w:r w:rsidRPr="00D068A6">
        <w:rPr>
          <w:sz w:val="24"/>
          <w:szCs w:val="24"/>
          <w:lang w:val="es-PE"/>
        </w:rPr>
        <w:lastRenderedPageBreak/>
        <w:t xml:space="preserve">Adicionalmente, </w:t>
      </w:r>
      <w:r w:rsidR="00316333">
        <w:rPr>
          <w:sz w:val="24"/>
          <w:szCs w:val="24"/>
          <w:lang w:val="es-PE"/>
        </w:rPr>
        <w:t xml:space="preserve">durante el gobierno siguiente (03/10-03/14), </w:t>
      </w:r>
      <w:r w:rsidRPr="00D068A6">
        <w:rPr>
          <w:sz w:val="24"/>
          <w:szCs w:val="24"/>
          <w:lang w:val="es-PE"/>
        </w:rPr>
        <w:t>algunas de las reducciones temporales de impuestos, como por ejemplo, a los créditos, se hicieron permanentes sin un incremento equiparable de</w:t>
      </w:r>
      <w:r w:rsidR="0054057D">
        <w:rPr>
          <w:sz w:val="24"/>
          <w:szCs w:val="24"/>
          <w:lang w:val="es-PE"/>
        </w:rPr>
        <w:t xml:space="preserve"> </w:t>
      </w:r>
      <w:r w:rsidRPr="00D068A6">
        <w:rPr>
          <w:sz w:val="24"/>
          <w:szCs w:val="24"/>
          <w:lang w:val="es-PE"/>
        </w:rPr>
        <w:t>ingreso fiscal permanente. En consecuencia, en 2012, el gobierno utilizó ingresos provenientes de las empresas mineras</w:t>
      </w:r>
      <w:r w:rsidR="0054057D">
        <w:rPr>
          <w:sz w:val="24"/>
          <w:szCs w:val="24"/>
          <w:lang w:val="es-PE"/>
        </w:rPr>
        <w:t xml:space="preserve"> equivalentes a</w:t>
      </w:r>
      <w:r w:rsidRPr="00D068A6">
        <w:rPr>
          <w:sz w:val="24"/>
          <w:szCs w:val="24"/>
          <w:lang w:val="es-PE"/>
        </w:rPr>
        <w:t xml:space="preserve"> un precio del cobre de </w:t>
      </w:r>
      <w:r w:rsidR="00796D09" w:rsidRPr="00D068A6">
        <w:rPr>
          <w:sz w:val="24"/>
          <w:szCs w:val="24"/>
          <w:lang w:val="es-PE"/>
        </w:rPr>
        <w:t>US$3,</w:t>
      </w:r>
      <w:r w:rsidR="00877F9B" w:rsidRPr="00D068A6">
        <w:rPr>
          <w:sz w:val="24"/>
          <w:szCs w:val="24"/>
          <w:lang w:val="es-PE"/>
        </w:rPr>
        <w:t xml:space="preserve">30 </w:t>
      </w:r>
      <w:r w:rsidRPr="00D068A6">
        <w:rPr>
          <w:sz w:val="24"/>
          <w:szCs w:val="24"/>
          <w:lang w:val="es-PE"/>
        </w:rPr>
        <w:t>por libra, en comparación con</w:t>
      </w:r>
      <w:r w:rsidR="00877F9B" w:rsidRPr="00D068A6">
        <w:rPr>
          <w:sz w:val="24"/>
          <w:szCs w:val="24"/>
          <w:lang w:val="es-PE"/>
        </w:rPr>
        <w:t xml:space="preserve"> US$1 </w:t>
      </w:r>
      <w:r w:rsidRPr="00D068A6">
        <w:rPr>
          <w:sz w:val="24"/>
          <w:szCs w:val="24"/>
          <w:lang w:val="es-PE"/>
        </w:rPr>
        <w:t>en</w:t>
      </w:r>
      <w:r w:rsidR="00877F9B" w:rsidRPr="00D068A6">
        <w:rPr>
          <w:sz w:val="24"/>
          <w:szCs w:val="24"/>
          <w:lang w:val="es-PE"/>
        </w:rPr>
        <w:t xml:space="preserve"> 2004-07. </w:t>
      </w:r>
    </w:p>
    <w:p w14:paraId="22091238" w14:textId="77777777" w:rsidR="00BD5CD8" w:rsidRDefault="00246BAA" w:rsidP="00877F9B">
      <w:pPr>
        <w:spacing w:line="360" w:lineRule="auto"/>
        <w:ind w:firstLine="709"/>
        <w:jc w:val="both"/>
        <w:rPr>
          <w:sz w:val="24"/>
          <w:szCs w:val="24"/>
          <w:lang w:val="es-PE"/>
        </w:rPr>
      </w:pPr>
      <w:r w:rsidRPr="00D068A6">
        <w:rPr>
          <w:sz w:val="24"/>
          <w:szCs w:val="24"/>
          <w:lang w:val="es-PE"/>
        </w:rPr>
        <w:t xml:space="preserve">A fines de 2012 y principios de 2013, la brecha recesiva había desaparecido pero el gasto fiscal seguía siendo excesivo en comparación con los ingresos fiscales permanentes. En 2013, el gasto fiscal había aumentado 52% por encima del </w:t>
      </w:r>
      <w:r w:rsidRPr="005A41AF">
        <w:rPr>
          <w:i/>
          <w:sz w:val="24"/>
          <w:szCs w:val="24"/>
          <w:lang w:val="es-PE"/>
        </w:rPr>
        <w:t>p</w:t>
      </w:r>
      <w:r w:rsidR="005A41AF" w:rsidRPr="005A41AF">
        <w:rPr>
          <w:i/>
          <w:sz w:val="24"/>
          <w:szCs w:val="24"/>
          <w:lang w:val="es-PE"/>
        </w:rPr>
        <w:t>eak</w:t>
      </w:r>
      <w:r w:rsidRPr="00D068A6">
        <w:rPr>
          <w:sz w:val="24"/>
          <w:szCs w:val="24"/>
          <w:lang w:val="es-PE"/>
        </w:rPr>
        <w:t xml:space="preserve"> de actividad económica de 2007, mientras que los ingresos no procedentes del cobre habían aumentado </w:t>
      </w:r>
      <w:r w:rsidR="00877F9B" w:rsidRPr="00D068A6">
        <w:rPr>
          <w:sz w:val="24"/>
          <w:szCs w:val="24"/>
          <w:lang w:val="es-PE"/>
        </w:rPr>
        <w:t>36%</w:t>
      </w:r>
      <w:r w:rsidR="007506E1">
        <w:rPr>
          <w:sz w:val="24"/>
          <w:szCs w:val="24"/>
          <w:lang w:val="es-PE"/>
        </w:rPr>
        <w:t xml:space="preserve"> </w:t>
      </w:r>
      <w:r w:rsidR="00877F9B" w:rsidRPr="00D068A6">
        <w:rPr>
          <w:sz w:val="24"/>
          <w:szCs w:val="24"/>
          <w:lang w:val="es-PE"/>
        </w:rPr>
        <w:t>(</w:t>
      </w:r>
      <w:r w:rsidR="007506E1">
        <w:rPr>
          <w:sz w:val="24"/>
          <w:szCs w:val="24"/>
          <w:lang w:val="es-PE"/>
        </w:rPr>
        <w:t>v</w:t>
      </w:r>
      <w:r w:rsidRPr="00D068A6">
        <w:rPr>
          <w:sz w:val="24"/>
          <w:szCs w:val="24"/>
          <w:lang w:val="es-PE"/>
        </w:rPr>
        <w:t xml:space="preserve">er </w:t>
      </w:r>
      <w:r w:rsidR="00ED7230">
        <w:rPr>
          <w:sz w:val="24"/>
          <w:szCs w:val="24"/>
          <w:lang w:val="es-PE"/>
        </w:rPr>
        <w:t>Cuadro</w:t>
      </w:r>
      <w:r w:rsidR="00872139" w:rsidRPr="00D068A6">
        <w:rPr>
          <w:sz w:val="24"/>
          <w:szCs w:val="24"/>
          <w:lang w:val="es-PE"/>
        </w:rPr>
        <w:t xml:space="preserve"> </w:t>
      </w:r>
      <w:r w:rsidR="008161A0" w:rsidRPr="00D068A6">
        <w:rPr>
          <w:sz w:val="24"/>
          <w:szCs w:val="24"/>
          <w:lang w:val="es-PE"/>
        </w:rPr>
        <w:t>2</w:t>
      </w:r>
      <w:r w:rsidR="00877F9B" w:rsidRPr="00D068A6">
        <w:rPr>
          <w:sz w:val="24"/>
          <w:szCs w:val="24"/>
          <w:lang w:val="es-PE"/>
        </w:rPr>
        <w:t xml:space="preserve">). </w:t>
      </w:r>
    </w:p>
    <w:p w14:paraId="1A30A528" w14:textId="08015CC9" w:rsidR="00BD5CD8" w:rsidRPr="00D068A6" w:rsidRDefault="00BD5CD8" w:rsidP="00BD5CD8">
      <w:pPr>
        <w:spacing w:line="360" w:lineRule="auto"/>
        <w:ind w:left="2831" w:firstLine="709"/>
        <w:jc w:val="both"/>
        <w:rPr>
          <w:sz w:val="24"/>
          <w:szCs w:val="24"/>
          <w:lang w:val="es-PE"/>
        </w:rPr>
      </w:pPr>
      <w:r>
        <w:rPr>
          <w:sz w:val="24"/>
          <w:szCs w:val="24"/>
          <w:lang w:val="es-PE"/>
        </w:rPr>
        <w:t>Cuadro</w:t>
      </w:r>
      <w:r w:rsidRPr="00D068A6">
        <w:rPr>
          <w:sz w:val="24"/>
          <w:szCs w:val="24"/>
          <w:lang w:val="es-PE"/>
        </w:rPr>
        <w:t xml:space="preserve"> 2</w:t>
      </w:r>
    </w:p>
    <w:p w14:paraId="39CFA8B7" w14:textId="0D9D2C73" w:rsidR="00BD5CD8" w:rsidRDefault="00246BAA" w:rsidP="00973704">
      <w:pPr>
        <w:spacing w:line="360" w:lineRule="auto"/>
        <w:ind w:firstLine="709"/>
        <w:jc w:val="both"/>
        <w:rPr>
          <w:sz w:val="24"/>
          <w:szCs w:val="24"/>
          <w:lang w:val="es-PE"/>
        </w:rPr>
      </w:pPr>
      <w:r w:rsidRPr="00D068A6">
        <w:rPr>
          <w:sz w:val="24"/>
          <w:szCs w:val="24"/>
          <w:lang w:val="es-PE"/>
        </w:rPr>
        <w:t xml:space="preserve">En consecuencia, la política presupuestal </w:t>
      </w:r>
      <w:r w:rsidR="00046939" w:rsidRPr="00D068A6">
        <w:rPr>
          <w:sz w:val="24"/>
          <w:szCs w:val="24"/>
          <w:lang w:val="es-PE"/>
        </w:rPr>
        <w:t>había</w:t>
      </w:r>
      <w:r w:rsidRPr="00D068A6">
        <w:rPr>
          <w:sz w:val="24"/>
          <w:szCs w:val="24"/>
          <w:lang w:val="es-PE"/>
        </w:rPr>
        <w:t xml:space="preserve"> pasado a ser pro</w:t>
      </w:r>
      <w:r w:rsidR="00D576E0">
        <w:rPr>
          <w:sz w:val="24"/>
          <w:szCs w:val="24"/>
          <w:lang w:val="es-PE"/>
        </w:rPr>
        <w:t>-</w:t>
      </w:r>
      <w:r w:rsidRPr="00D068A6">
        <w:rPr>
          <w:sz w:val="24"/>
          <w:szCs w:val="24"/>
          <w:lang w:val="es-PE"/>
        </w:rPr>
        <w:t xml:space="preserve">cíclica en 2012 y 2013, rompiendo el equilibrio </w:t>
      </w:r>
      <w:r w:rsidR="00046939" w:rsidRPr="00D068A6">
        <w:rPr>
          <w:sz w:val="24"/>
          <w:szCs w:val="24"/>
          <w:lang w:val="es-PE"/>
        </w:rPr>
        <w:t>estructural</w:t>
      </w:r>
      <w:r w:rsidRPr="00D068A6">
        <w:rPr>
          <w:sz w:val="24"/>
          <w:szCs w:val="24"/>
          <w:lang w:val="es-PE"/>
        </w:rPr>
        <w:t xml:space="preserve"> oficial de meta cero</w:t>
      </w:r>
      <w:r w:rsidR="00877F9B" w:rsidRPr="00D068A6">
        <w:rPr>
          <w:sz w:val="24"/>
          <w:szCs w:val="24"/>
          <w:lang w:val="es-PE"/>
        </w:rPr>
        <w:t>,</w:t>
      </w:r>
      <w:r w:rsidRPr="00D068A6">
        <w:rPr>
          <w:sz w:val="24"/>
          <w:szCs w:val="24"/>
          <w:lang w:val="es-PE"/>
        </w:rPr>
        <w:t xml:space="preserve"> </w:t>
      </w:r>
      <w:r w:rsidR="005A41AF">
        <w:rPr>
          <w:sz w:val="24"/>
          <w:szCs w:val="24"/>
          <w:lang w:val="es-PE"/>
        </w:rPr>
        <w:t>a pesar de que el BFE se estaba m</w:t>
      </w:r>
      <w:r w:rsidR="00796D09" w:rsidRPr="00D068A6">
        <w:rPr>
          <w:sz w:val="24"/>
          <w:szCs w:val="24"/>
          <w:lang w:val="es-PE"/>
        </w:rPr>
        <w:t>i</w:t>
      </w:r>
      <w:r w:rsidR="005A41AF">
        <w:rPr>
          <w:sz w:val="24"/>
          <w:szCs w:val="24"/>
          <w:lang w:val="es-PE"/>
        </w:rPr>
        <w:t>diend</w:t>
      </w:r>
      <w:r w:rsidR="00796D09" w:rsidRPr="00D068A6">
        <w:rPr>
          <w:sz w:val="24"/>
          <w:szCs w:val="24"/>
          <w:lang w:val="es-PE"/>
        </w:rPr>
        <w:t>o</w:t>
      </w:r>
      <w:r w:rsidR="005A41AF">
        <w:rPr>
          <w:sz w:val="24"/>
          <w:szCs w:val="24"/>
          <w:lang w:val="es-PE"/>
        </w:rPr>
        <w:t xml:space="preserve"> con</w:t>
      </w:r>
      <w:r w:rsidRPr="00D068A6">
        <w:rPr>
          <w:sz w:val="24"/>
          <w:szCs w:val="24"/>
          <w:lang w:val="es-PE"/>
        </w:rPr>
        <w:t xml:space="preserve"> una notoria sobreestimación del precio </w:t>
      </w:r>
      <w:r w:rsidR="005A41AF">
        <w:rPr>
          <w:sz w:val="24"/>
          <w:szCs w:val="24"/>
          <w:lang w:val="es-PE"/>
        </w:rPr>
        <w:t xml:space="preserve">tendencial </w:t>
      </w:r>
      <w:r w:rsidRPr="00D068A6">
        <w:rPr>
          <w:sz w:val="24"/>
          <w:szCs w:val="24"/>
          <w:lang w:val="es-PE"/>
        </w:rPr>
        <w:t>del cobre</w:t>
      </w:r>
      <w:r w:rsidR="00877F9B" w:rsidRPr="00D068A6">
        <w:rPr>
          <w:sz w:val="24"/>
          <w:szCs w:val="24"/>
          <w:lang w:val="es-PE"/>
        </w:rPr>
        <w:t>.</w:t>
      </w:r>
      <w:r w:rsidR="00877F9B" w:rsidRPr="00D068A6">
        <w:rPr>
          <w:rStyle w:val="Refdenotaalpie"/>
          <w:sz w:val="24"/>
          <w:szCs w:val="24"/>
          <w:lang w:val="es-PE"/>
        </w:rPr>
        <w:footnoteReference w:id="9"/>
      </w:r>
      <w:r w:rsidR="00877F9B" w:rsidRPr="00D068A6">
        <w:rPr>
          <w:sz w:val="24"/>
          <w:szCs w:val="24"/>
          <w:lang w:val="es-PE"/>
        </w:rPr>
        <w:t xml:space="preserve"> </w:t>
      </w:r>
      <w:r w:rsidRPr="00D068A6">
        <w:rPr>
          <w:sz w:val="24"/>
          <w:szCs w:val="24"/>
          <w:lang w:val="es-PE"/>
        </w:rPr>
        <w:t>El efecto neto fue que el</w:t>
      </w:r>
      <w:r w:rsidR="00877F9B" w:rsidRPr="00D068A6">
        <w:rPr>
          <w:sz w:val="24"/>
          <w:szCs w:val="24"/>
          <w:lang w:val="es-PE"/>
        </w:rPr>
        <w:t xml:space="preserve"> </w:t>
      </w:r>
      <w:r w:rsidR="006E6423">
        <w:rPr>
          <w:sz w:val="24"/>
          <w:szCs w:val="24"/>
          <w:lang w:val="es-PE"/>
        </w:rPr>
        <w:t>BFE</w:t>
      </w:r>
      <w:r w:rsidR="00877F9B" w:rsidRPr="00D068A6">
        <w:rPr>
          <w:sz w:val="24"/>
          <w:szCs w:val="24"/>
          <w:lang w:val="es-PE"/>
        </w:rPr>
        <w:t xml:space="preserve"> </w:t>
      </w:r>
      <w:r w:rsidR="005A41AF">
        <w:rPr>
          <w:sz w:val="24"/>
          <w:szCs w:val="24"/>
          <w:lang w:val="es-PE"/>
        </w:rPr>
        <w:t>registró</w:t>
      </w:r>
      <w:r w:rsidRPr="00D068A6">
        <w:rPr>
          <w:sz w:val="24"/>
          <w:szCs w:val="24"/>
          <w:lang w:val="es-PE"/>
        </w:rPr>
        <w:t xml:space="preserve"> un déficit de 0,5%</w:t>
      </w:r>
      <w:r w:rsidR="005A41AF">
        <w:rPr>
          <w:sz w:val="24"/>
          <w:szCs w:val="24"/>
          <w:lang w:val="es-PE"/>
        </w:rPr>
        <w:t xml:space="preserve"> del PBI</w:t>
      </w:r>
      <w:r w:rsidRPr="00D068A6">
        <w:rPr>
          <w:sz w:val="24"/>
          <w:szCs w:val="24"/>
          <w:lang w:val="es-PE"/>
        </w:rPr>
        <w:t xml:space="preserve"> a pesar </w:t>
      </w:r>
      <w:r w:rsidR="00796D09" w:rsidRPr="00D068A6">
        <w:rPr>
          <w:sz w:val="24"/>
          <w:szCs w:val="24"/>
          <w:lang w:val="es-PE"/>
        </w:rPr>
        <w:t xml:space="preserve">de que </w:t>
      </w:r>
      <w:r w:rsidR="005A41AF">
        <w:rPr>
          <w:sz w:val="24"/>
          <w:szCs w:val="24"/>
          <w:lang w:val="es-PE"/>
        </w:rPr>
        <w:t xml:space="preserve">se </w:t>
      </w:r>
      <w:r w:rsidR="00796D09" w:rsidRPr="00D068A6">
        <w:rPr>
          <w:sz w:val="24"/>
          <w:szCs w:val="24"/>
          <w:lang w:val="es-PE"/>
        </w:rPr>
        <w:t xml:space="preserve">estimaba </w:t>
      </w:r>
      <w:r w:rsidR="005A41AF">
        <w:rPr>
          <w:sz w:val="24"/>
          <w:szCs w:val="24"/>
          <w:lang w:val="es-PE"/>
        </w:rPr>
        <w:t xml:space="preserve">con </w:t>
      </w:r>
      <w:r w:rsidR="00796D09" w:rsidRPr="00D068A6">
        <w:rPr>
          <w:sz w:val="24"/>
          <w:szCs w:val="24"/>
          <w:lang w:val="es-PE"/>
        </w:rPr>
        <w:t>un</w:t>
      </w:r>
      <w:r w:rsidRPr="00D068A6">
        <w:rPr>
          <w:sz w:val="24"/>
          <w:szCs w:val="24"/>
          <w:lang w:val="es-PE"/>
        </w:rPr>
        <w:t xml:space="preserve"> rápido ascenso de la tendencia del precio del cobre</w:t>
      </w:r>
      <w:r w:rsidR="00877F9B" w:rsidRPr="00D068A6">
        <w:rPr>
          <w:sz w:val="24"/>
          <w:szCs w:val="24"/>
          <w:lang w:val="es-PE"/>
        </w:rPr>
        <w:t xml:space="preserve"> (</w:t>
      </w:r>
      <w:r w:rsidRPr="00D068A6">
        <w:rPr>
          <w:sz w:val="24"/>
          <w:szCs w:val="24"/>
          <w:lang w:val="es-PE"/>
        </w:rPr>
        <w:t>de</w:t>
      </w:r>
      <w:r w:rsidR="00877F9B" w:rsidRPr="00D068A6">
        <w:rPr>
          <w:sz w:val="24"/>
          <w:szCs w:val="24"/>
          <w:lang w:val="es-PE"/>
        </w:rPr>
        <w:t xml:space="preserve"> US$1</w:t>
      </w:r>
      <w:r w:rsidRPr="00D068A6">
        <w:rPr>
          <w:sz w:val="24"/>
          <w:szCs w:val="24"/>
          <w:lang w:val="es-PE"/>
        </w:rPr>
        <w:t>,</w:t>
      </w:r>
      <w:r w:rsidR="00877F9B" w:rsidRPr="00D068A6">
        <w:rPr>
          <w:sz w:val="24"/>
          <w:szCs w:val="24"/>
          <w:lang w:val="es-PE"/>
        </w:rPr>
        <w:t xml:space="preserve">00 </w:t>
      </w:r>
      <w:r w:rsidRPr="00D068A6">
        <w:rPr>
          <w:sz w:val="24"/>
          <w:szCs w:val="24"/>
          <w:lang w:val="es-PE"/>
        </w:rPr>
        <w:t>en</w:t>
      </w:r>
      <w:r w:rsidR="00877F9B" w:rsidRPr="00D068A6">
        <w:rPr>
          <w:sz w:val="24"/>
          <w:szCs w:val="24"/>
          <w:lang w:val="es-PE"/>
        </w:rPr>
        <w:t xml:space="preserve"> 2004-07 </w:t>
      </w:r>
      <w:r w:rsidRPr="00D068A6">
        <w:rPr>
          <w:sz w:val="24"/>
          <w:szCs w:val="24"/>
          <w:lang w:val="es-PE"/>
        </w:rPr>
        <w:t>a</w:t>
      </w:r>
      <w:r w:rsidR="00877F9B" w:rsidRPr="00D068A6">
        <w:rPr>
          <w:sz w:val="24"/>
          <w:szCs w:val="24"/>
          <w:lang w:val="es-PE"/>
        </w:rPr>
        <w:t xml:space="preserve"> US$3</w:t>
      </w:r>
      <w:r w:rsidRPr="00D068A6">
        <w:rPr>
          <w:sz w:val="24"/>
          <w:szCs w:val="24"/>
          <w:lang w:val="es-PE"/>
        </w:rPr>
        <w:t>,</w:t>
      </w:r>
      <w:r w:rsidR="00877F9B" w:rsidRPr="00D068A6">
        <w:rPr>
          <w:sz w:val="24"/>
          <w:szCs w:val="24"/>
          <w:lang w:val="es-PE"/>
        </w:rPr>
        <w:t xml:space="preserve">06 </w:t>
      </w:r>
      <w:r w:rsidRPr="00D068A6">
        <w:rPr>
          <w:sz w:val="24"/>
          <w:szCs w:val="24"/>
          <w:lang w:val="es-PE"/>
        </w:rPr>
        <w:t>e</w:t>
      </w:r>
      <w:r w:rsidR="00877F9B" w:rsidRPr="00D068A6">
        <w:rPr>
          <w:sz w:val="24"/>
          <w:szCs w:val="24"/>
          <w:lang w:val="es-PE"/>
        </w:rPr>
        <w:t>n 2013</w:t>
      </w:r>
      <w:r w:rsidR="008161A0" w:rsidRPr="00D068A6">
        <w:rPr>
          <w:sz w:val="24"/>
          <w:szCs w:val="24"/>
          <w:lang w:val="es-PE"/>
        </w:rPr>
        <w:t xml:space="preserve">; </w:t>
      </w:r>
      <w:r w:rsidR="00ED7230">
        <w:rPr>
          <w:sz w:val="24"/>
          <w:szCs w:val="24"/>
          <w:lang w:val="es-PE"/>
        </w:rPr>
        <w:t>ver Cuadro</w:t>
      </w:r>
      <w:r w:rsidR="008161A0" w:rsidRPr="00D068A6">
        <w:rPr>
          <w:sz w:val="24"/>
          <w:szCs w:val="24"/>
          <w:lang w:val="es-PE"/>
        </w:rPr>
        <w:t xml:space="preserve"> 3</w:t>
      </w:r>
      <w:r w:rsidR="00877F9B" w:rsidRPr="00D068A6">
        <w:rPr>
          <w:sz w:val="24"/>
          <w:szCs w:val="24"/>
          <w:lang w:val="es-PE"/>
        </w:rPr>
        <w:t xml:space="preserve">). </w:t>
      </w:r>
    </w:p>
    <w:p w14:paraId="05199700" w14:textId="61BBB4AB" w:rsidR="00877F9B" w:rsidRPr="00D068A6" w:rsidRDefault="00246BAA" w:rsidP="00877F9B">
      <w:pPr>
        <w:spacing w:line="360" w:lineRule="auto"/>
        <w:ind w:firstLine="709"/>
        <w:jc w:val="both"/>
        <w:rPr>
          <w:sz w:val="24"/>
          <w:szCs w:val="24"/>
          <w:lang w:val="es-PE"/>
        </w:rPr>
      </w:pPr>
      <w:r w:rsidRPr="00D068A6">
        <w:rPr>
          <w:sz w:val="24"/>
          <w:szCs w:val="24"/>
          <w:lang w:val="es-PE"/>
        </w:rPr>
        <w:t xml:space="preserve">El hecho es que subsistían dos sesgos persistentes </w:t>
      </w:r>
      <w:r w:rsidR="00DC711B" w:rsidRPr="00D068A6">
        <w:rPr>
          <w:sz w:val="24"/>
          <w:szCs w:val="24"/>
          <w:lang w:val="es-PE"/>
        </w:rPr>
        <w:t xml:space="preserve">en la medición del </w:t>
      </w:r>
      <w:r w:rsidR="006E6423">
        <w:rPr>
          <w:sz w:val="24"/>
          <w:szCs w:val="24"/>
          <w:lang w:val="es-PE"/>
        </w:rPr>
        <w:t>BFE</w:t>
      </w:r>
      <w:r w:rsidR="00877F9B" w:rsidRPr="00D068A6">
        <w:rPr>
          <w:sz w:val="24"/>
          <w:szCs w:val="24"/>
          <w:lang w:val="es-PE"/>
        </w:rPr>
        <w:t xml:space="preserve"> </w:t>
      </w:r>
      <w:r w:rsidR="00DC711B" w:rsidRPr="00D068A6">
        <w:rPr>
          <w:sz w:val="24"/>
          <w:szCs w:val="24"/>
          <w:lang w:val="es-PE"/>
        </w:rPr>
        <w:t>que dieron lugar a un significativo desequilibrio hacia</w:t>
      </w:r>
      <w:r w:rsidR="00877F9B" w:rsidRPr="00D068A6">
        <w:rPr>
          <w:sz w:val="24"/>
          <w:szCs w:val="24"/>
          <w:lang w:val="es-PE"/>
        </w:rPr>
        <w:t xml:space="preserve"> 2013. </w:t>
      </w:r>
      <w:r w:rsidR="00DC711B" w:rsidRPr="00D068A6">
        <w:rPr>
          <w:sz w:val="24"/>
          <w:szCs w:val="24"/>
          <w:lang w:val="es-PE"/>
        </w:rPr>
        <w:t xml:space="preserve">El enfoque de </w:t>
      </w:r>
      <w:r w:rsidR="006E6423">
        <w:rPr>
          <w:sz w:val="24"/>
          <w:szCs w:val="24"/>
          <w:lang w:val="es-PE"/>
        </w:rPr>
        <w:t>BFE</w:t>
      </w:r>
      <w:r w:rsidR="00DC711B" w:rsidRPr="00D068A6">
        <w:rPr>
          <w:sz w:val="24"/>
          <w:szCs w:val="24"/>
          <w:lang w:val="es-PE"/>
        </w:rPr>
        <w:t xml:space="preserve"> requería estimar dos variables estructurales </w:t>
      </w:r>
      <w:r w:rsidR="00910063">
        <w:rPr>
          <w:sz w:val="24"/>
          <w:szCs w:val="24"/>
          <w:lang w:val="es-PE"/>
        </w:rPr>
        <w:t>cada año</w:t>
      </w:r>
      <w:r w:rsidR="00877F9B" w:rsidRPr="00D068A6">
        <w:rPr>
          <w:sz w:val="24"/>
          <w:szCs w:val="24"/>
          <w:lang w:val="es-PE"/>
        </w:rPr>
        <w:t xml:space="preserve">: (i) </w:t>
      </w:r>
      <w:r w:rsidR="00DC711B" w:rsidRPr="00D068A6">
        <w:rPr>
          <w:sz w:val="24"/>
          <w:szCs w:val="24"/>
          <w:lang w:val="es-PE"/>
        </w:rPr>
        <w:t>la</w:t>
      </w:r>
      <w:r w:rsidR="00877F9B" w:rsidRPr="00D068A6">
        <w:rPr>
          <w:sz w:val="24"/>
          <w:szCs w:val="24"/>
          <w:lang w:val="es-PE"/>
        </w:rPr>
        <w:t xml:space="preserve"> </w:t>
      </w:r>
      <w:r w:rsidR="00DC711B" w:rsidRPr="00D068A6">
        <w:rPr>
          <w:sz w:val="24"/>
          <w:szCs w:val="24"/>
          <w:lang w:val="es-PE"/>
        </w:rPr>
        <w:t>tasa de crecimiento del PBI</w:t>
      </w:r>
      <w:r w:rsidR="00910063">
        <w:rPr>
          <w:sz w:val="24"/>
          <w:szCs w:val="24"/>
          <w:lang w:val="es-PE"/>
        </w:rPr>
        <w:t xml:space="preserve"> tendencial</w:t>
      </w:r>
      <w:r w:rsidR="00DC711B" w:rsidRPr="00D068A6">
        <w:rPr>
          <w:sz w:val="24"/>
          <w:szCs w:val="24"/>
          <w:lang w:val="es-PE"/>
        </w:rPr>
        <w:t xml:space="preserve"> y </w:t>
      </w:r>
      <w:r w:rsidR="00877F9B" w:rsidRPr="00D068A6">
        <w:rPr>
          <w:sz w:val="24"/>
          <w:szCs w:val="24"/>
          <w:lang w:val="es-PE"/>
        </w:rPr>
        <w:t xml:space="preserve">ii) </w:t>
      </w:r>
      <w:r w:rsidR="00DC711B" w:rsidRPr="00D068A6">
        <w:rPr>
          <w:sz w:val="24"/>
          <w:szCs w:val="24"/>
          <w:lang w:val="es-PE"/>
        </w:rPr>
        <w:t>el precio</w:t>
      </w:r>
      <w:r w:rsidR="00910063">
        <w:rPr>
          <w:sz w:val="24"/>
          <w:szCs w:val="24"/>
          <w:lang w:val="es-PE"/>
        </w:rPr>
        <w:t xml:space="preserve"> tendencial</w:t>
      </w:r>
      <w:r w:rsidR="00DC711B" w:rsidRPr="00D068A6">
        <w:rPr>
          <w:sz w:val="24"/>
          <w:szCs w:val="24"/>
          <w:lang w:val="es-PE"/>
        </w:rPr>
        <w:t xml:space="preserve"> del cobre</w:t>
      </w:r>
      <w:r w:rsidR="00877F9B" w:rsidRPr="00D068A6">
        <w:rPr>
          <w:sz w:val="24"/>
          <w:szCs w:val="24"/>
          <w:lang w:val="es-PE"/>
        </w:rPr>
        <w:t xml:space="preserve">. </w:t>
      </w:r>
      <w:r w:rsidR="00DC711B" w:rsidRPr="00D068A6">
        <w:rPr>
          <w:sz w:val="24"/>
          <w:szCs w:val="24"/>
          <w:lang w:val="es-PE"/>
        </w:rPr>
        <w:t xml:space="preserve">El estimado de ambos parámetros se realiza utilizando los insumos provenientes de dos comités de expertos independientes cada año. </w:t>
      </w:r>
    </w:p>
    <w:p w14:paraId="23A67A81" w14:textId="77777777" w:rsidR="007552AB" w:rsidRDefault="0029381A" w:rsidP="00877F9B">
      <w:pPr>
        <w:pStyle w:val="Sangradetextonormal"/>
        <w:spacing w:line="360" w:lineRule="auto"/>
        <w:ind w:left="0" w:firstLine="708"/>
        <w:rPr>
          <w:lang w:val="es-PE"/>
        </w:rPr>
      </w:pPr>
      <w:r>
        <w:rPr>
          <w:lang w:val="es-PE"/>
        </w:rPr>
        <w:t>(i)</w:t>
      </w:r>
      <w:r w:rsidR="007552AB">
        <w:rPr>
          <w:lang w:val="es-PE"/>
        </w:rPr>
        <w:t xml:space="preserve"> Tasa de crecimiento del PIB tendencial</w:t>
      </w:r>
    </w:p>
    <w:p w14:paraId="41C27DC4" w14:textId="49F0377A" w:rsidR="00877F9B" w:rsidRPr="00D068A6" w:rsidRDefault="0029381A" w:rsidP="00877F9B">
      <w:pPr>
        <w:pStyle w:val="Sangradetextonormal"/>
        <w:spacing w:line="360" w:lineRule="auto"/>
        <w:ind w:left="0" w:firstLine="708"/>
        <w:rPr>
          <w:lang w:val="es-PE"/>
        </w:rPr>
      </w:pPr>
      <w:r>
        <w:rPr>
          <w:lang w:val="es-PE"/>
        </w:rPr>
        <w:t xml:space="preserve"> </w:t>
      </w:r>
      <w:r w:rsidR="00911BC6" w:rsidRPr="00D068A6">
        <w:rPr>
          <w:lang w:val="es-PE"/>
        </w:rPr>
        <w:t xml:space="preserve">La regla </w:t>
      </w:r>
      <w:r w:rsidR="00796D09" w:rsidRPr="00D068A6">
        <w:rPr>
          <w:lang w:val="es-PE"/>
        </w:rPr>
        <w:t>e</w:t>
      </w:r>
      <w:r w:rsidR="00911BC6" w:rsidRPr="00D068A6">
        <w:rPr>
          <w:lang w:val="es-PE"/>
        </w:rPr>
        <w:t>structural implicó mantener un nivel de gast</w:t>
      </w:r>
      <w:r w:rsidR="003B7A2F">
        <w:rPr>
          <w:lang w:val="es-PE"/>
        </w:rPr>
        <w:t>o consistente con la tendencia de</w:t>
      </w:r>
      <w:r w:rsidR="00911BC6" w:rsidRPr="00D068A6">
        <w:rPr>
          <w:lang w:val="es-PE"/>
        </w:rPr>
        <w:t xml:space="preserve"> mediano plazo estimada para el PBI. La definición del concepto es esencial para estimar los ingresos fiscales estructurales</w:t>
      </w:r>
      <w:r w:rsidR="00FA013A">
        <w:rPr>
          <w:lang w:val="es-PE"/>
        </w:rPr>
        <w:t>;</w:t>
      </w:r>
      <w:r w:rsidR="00911BC6" w:rsidRPr="00D068A6">
        <w:rPr>
          <w:lang w:val="es-PE"/>
        </w:rPr>
        <w:t xml:space="preserve"> </w:t>
      </w:r>
      <w:r w:rsidR="00FA013A">
        <w:rPr>
          <w:lang w:val="es-PE"/>
        </w:rPr>
        <w:t>p</w:t>
      </w:r>
      <w:r w:rsidR="00911BC6" w:rsidRPr="00D068A6">
        <w:rPr>
          <w:lang w:val="es-PE"/>
        </w:rPr>
        <w:t xml:space="preserve">uede definirse como </w:t>
      </w:r>
      <w:r w:rsidR="00FA013A">
        <w:rPr>
          <w:lang w:val="es-PE"/>
        </w:rPr>
        <w:t>PBI potencial</w:t>
      </w:r>
      <w:r w:rsidR="00911BC6" w:rsidRPr="00D068A6">
        <w:rPr>
          <w:lang w:val="es-PE"/>
        </w:rPr>
        <w:t xml:space="preserve"> </w:t>
      </w:r>
      <w:r w:rsidR="00877F9B" w:rsidRPr="00D068A6">
        <w:rPr>
          <w:lang w:val="es-PE"/>
        </w:rPr>
        <w:t xml:space="preserve"> (</w:t>
      </w:r>
      <w:r w:rsidR="00911BC6" w:rsidRPr="00D068A6">
        <w:rPr>
          <w:lang w:val="es-PE"/>
        </w:rPr>
        <w:t>PBI</w:t>
      </w:r>
      <w:r w:rsidR="00877F9B" w:rsidRPr="00D068A6">
        <w:rPr>
          <w:lang w:val="es-PE"/>
        </w:rPr>
        <w:t xml:space="preserve">*) </w:t>
      </w:r>
      <w:r w:rsidR="00911BC6" w:rsidRPr="00D068A6">
        <w:rPr>
          <w:lang w:val="es-PE"/>
        </w:rPr>
        <w:t xml:space="preserve">o como </w:t>
      </w:r>
      <w:r w:rsidR="00FA013A">
        <w:rPr>
          <w:lang w:val="es-PE"/>
        </w:rPr>
        <w:t>PBI tendencial</w:t>
      </w:r>
      <w:r w:rsidR="00911BC6" w:rsidRPr="00D068A6">
        <w:rPr>
          <w:lang w:val="es-PE"/>
        </w:rPr>
        <w:t xml:space="preserve"> (PBI</w:t>
      </w:r>
      <w:r w:rsidR="00877F9B" w:rsidRPr="00D068A6">
        <w:rPr>
          <w:lang w:val="es-PE"/>
        </w:rPr>
        <w:t xml:space="preserve">t). </w:t>
      </w:r>
      <w:r w:rsidR="00FA013A">
        <w:rPr>
          <w:lang w:val="es-PE"/>
        </w:rPr>
        <w:t>El PBI*</w:t>
      </w:r>
      <w:r w:rsidR="00911BC6" w:rsidRPr="00D068A6">
        <w:rPr>
          <w:lang w:val="es-PE"/>
        </w:rPr>
        <w:t xml:space="preserve"> corresponde al máximo nivel sostenible de producción de </w:t>
      </w:r>
      <w:r w:rsidR="00C27ED5">
        <w:rPr>
          <w:lang w:val="es-PE"/>
        </w:rPr>
        <w:t>l</w:t>
      </w:r>
      <w:r w:rsidR="00911BC6" w:rsidRPr="00D068A6">
        <w:rPr>
          <w:lang w:val="es-PE"/>
        </w:rPr>
        <w:t>a economía</w:t>
      </w:r>
      <w:r w:rsidR="003B7A2F">
        <w:rPr>
          <w:lang w:val="es-PE"/>
        </w:rPr>
        <w:t xml:space="preserve"> </w:t>
      </w:r>
      <w:r w:rsidR="00911BC6" w:rsidRPr="00D068A6">
        <w:rPr>
          <w:lang w:val="es-PE"/>
        </w:rPr>
        <w:t xml:space="preserve">dados los factores </w:t>
      </w:r>
      <w:r w:rsidR="00C27ED5">
        <w:rPr>
          <w:lang w:val="es-PE"/>
        </w:rPr>
        <w:t>de producción disponibles</w:t>
      </w:r>
      <w:r w:rsidR="00911BC6" w:rsidRPr="00D068A6">
        <w:rPr>
          <w:lang w:val="es-PE"/>
        </w:rPr>
        <w:t xml:space="preserve"> en el año de la estimación</w:t>
      </w:r>
      <w:r w:rsidR="00877F9B" w:rsidRPr="00D068A6">
        <w:rPr>
          <w:lang w:val="es-PE"/>
        </w:rPr>
        <w:t>.</w:t>
      </w:r>
      <w:r w:rsidR="00877F9B" w:rsidRPr="00D068A6">
        <w:rPr>
          <w:rStyle w:val="Refdenotaalpie"/>
          <w:lang w:val="es-PE"/>
        </w:rPr>
        <w:footnoteReference w:id="10"/>
      </w:r>
      <w:r w:rsidR="00877F9B" w:rsidRPr="00D068A6">
        <w:rPr>
          <w:lang w:val="es-PE"/>
        </w:rPr>
        <w:t xml:space="preserve"> </w:t>
      </w:r>
      <w:r w:rsidR="00911BC6" w:rsidRPr="00D068A6">
        <w:rPr>
          <w:lang w:val="es-PE"/>
        </w:rPr>
        <w:t>Por el contrario, el PBIt se define como el nivel de producción consistente con el uso</w:t>
      </w:r>
      <w:r w:rsidR="00877F9B" w:rsidRPr="00D068A6">
        <w:rPr>
          <w:lang w:val="es-PE"/>
        </w:rPr>
        <w:t xml:space="preserve"> “normal” (</w:t>
      </w:r>
      <w:r w:rsidR="00911BC6" w:rsidRPr="00D068A6">
        <w:rPr>
          <w:lang w:val="es-PE"/>
        </w:rPr>
        <w:t xml:space="preserve">en </w:t>
      </w:r>
      <w:r w:rsidR="00911BC6" w:rsidRPr="00D068A6">
        <w:rPr>
          <w:lang w:val="es-PE"/>
        </w:rPr>
        <w:lastRenderedPageBreak/>
        <w:t>términos estadísticos</w:t>
      </w:r>
      <w:r w:rsidR="00877F9B" w:rsidRPr="00D068A6">
        <w:rPr>
          <w:lang w:val="es-PE"/>
        </w:rPr>
        <w:t>)</w:t>
      </w:r>
      <w:r w:rsidR="00911BC6" w:rsidRPr="00D068A6">
        <w:rPr>
          <w:lang w:val="es-PE"/>
        </w:rPr>
        <w:t xml:space="preserve"> de los insumos productivos, es decir, el valor </w:t>
      </w:r>
      <w:r w:rsidR="00C27ED5">
        <w:rPr>
          <w:lang w:val="es-PE"/>
        </w:rPr>
        <w:t>t</w:t>
      </w:r>
      <w:r w:rsidR="00911BC6" w:rsidRPr="00D068A6">
        <w:rPr>
          <w:lang w:val="es-PE"/>
        </w:rPr>
        <w:t>endencia</w:t>
      </w:r>
      <w:r w:rsidR="00C27ED5">
        <w:rPr>
          <w:lang w:val="es-PE"/>
        </w:rPr>
        <w:t>l</w:t>
      </w:r>
      <w:r w:rsidR="00911BC6" w:rsidRPr="00D068A6">
        <w:rPr>
          <w:lang w:val="es-PE"/>
        </w:rPr>
        <w:t xml:space="preserve"> es un “promedio” de los PBI </w:t>
      </w:r>
      <w:r w:rsidR="00C27ED5">
        <w:rPr>
          <w:lang w:val="es-PE"/>
        </w:rPr>
        <w:t>efectivos</w:t>
      </w:r>
      <w:r w:rsidR="00911BC6" w:rsidRPr="00D068A6">
        <w:rPr>
          <w:lang w:val="es-PE"/>
        </w:rPr>
        <w:t xml:space="preserve">, lo que asume que las desviaciones </w:t>
      </w:r>
      <w:r w:rsidR="00C27ED5">
        <w:rPr>
          <w:lang w:val="es-PE"/>
        </w:rPr>
        <w:t>del PBI efectivo respecto</w:t>
      </w:r>
      <w:r w:rsidR="00911BC6" w:rsidRPr="00D068A6">
        <w:rPr>
          <w:lang w:val="es-PE"/>
        </w:rPr>
        <w:t xml:space="preserve"> de la tendencia son simétricas (las brechas positivas y negativas son equivalentes). No obstante, en la economías </w:t>
      </w:r>
      <w:r w:rsidR="00046939" w:rsidRPr="00D068A6">
        <w:rPr>
          <w:lang w:val="es-PE"/>
        </w:rPr>
        <w:t>volátiles</w:t>
      </w:r>
      <w:r w:rsidR="00911BC6" w:rsidRPr="00D068A6">
        <w:rPr>
          <w:lang w:val="es-PE"/>
        </w:rPr>
        <w:t xml:space="preserve">, generalmente existe una brecha significativa del promedio de producción entre PBI* y el PBI </w:t>
      </w:r>
      <w:r w:rsidR="00BD5CD8">
        <w:rPr>
          <w:lang w:val="es-PE"/>
        </w:rPr>
        <w:t>efectivo</w:t>
      </w:r>
      <w:r w:rsidR="00911BC6" w:rsidRPr="00D068A6">
        <w:rPr>
          <w:lang w:val="es-PE"/>
        </w:rPr>
        <w:t xml:space="preserve"> (l</w:t>
      </w:r>
      <w:r w:rsidR="00BD5CD8">
        <w:rPr>
          <w:lang w:val="es-PE"/>
        </w:rPr>
        <w:t>a BR</w:t>
      </w:r>
      <w:r w:rsidR="00911BC6" w:rsidRPr="00D068A6">
        <w:rPr>
          <w:lang w:val="es-PE"/>
        </w:rPr>
        <w:t xml:space="preserve">). De hecho, el PBI </w:t>
      </w:r>
      <w:r w:rsidR="00C27ED5">
        <w:rPr>
          <w:lang w:val="es-PE"/>
        </w:rPr>
        <w:t>efectivo</w:t>
      </w:r>
      <w:r w:rsidR="00911BC6" w:rsidRPr="00D068A6">
        <w:rPr>
          <w:lang w:val="es-PE"/>
        </w:rPr>
        <w:t xml:space="preserve"> puede encontrarse significativamente por debajo del PBI* mientras que sólo excepcionalmente estará por encima del mismo; ello constituye una asimetría </w:t>
      </w:r>
      <w:r w:rsidR="00C27ED5">
        <w:rPr>
          <w:lang w:val="es-PE"/>
        </w:rPr>
        <w:t>notablemente</w:t>
      </w:r>
      <w:r w:rsidR="00911BC6" w:rsidRPr="00D068A6">
        <w:rPr>
          <w:lang w:val="es-PE"/>
        </w:rPr>
        <w:t xml:space="preserve"> relevante para el diseño de las políticas macroeconómicas</w:t>
      </w:r>
      <w:r w:rsidR="00877F9B" w:rsidRPr="00D068A6">
        <w:rPr>
          <w:lang w:val="es-PE"/>
        </w:rPr>
        <w:t xml:space="preserve">. </w:t>
      </w:r>
    </w:p>
    <w:p w14:paraId="5D5FACD5" w14:textId="1814B555" w:rsidR="00877F9B" w:rsidRPr="00D068A6" w:rsidRDefault="001B3003" w:rsidP="00911BC6">
      <w:pPr>
        <w:pStyle w:val="Sangradetextonormal"/>
        <w:spacing w:line="360" w:lineRule="auto"/>
        <w:ind w:left="0" w:firstLine="708"/>
        <w:rPr>
          <w:lang w:val="es-PE"/>
        </w:rPr>
      </w:pPr>
      <w:r>
        <w:rPr>
          <w:lang w:val="es-PE"/>
        </w:rPr>
        <w:t>E</w:t>
      </w:r>
      <w:r w:rsidR="00911BC6" w:rsidRPr="00D068A6">
        <w:rPr>
          <w:lang w:val="es-PE"/>
        </w:rPr>
        <w:t xml:space="preserve">l Ministerio de </w:t>
      </w:r>
      <w:r>
        <w:rPr>
          <w:lang w:val="es-PE"/>
        </w:rPr>
        <w:t>Hacienda</w:t>
      </w:r>
      <w:r w:rsidR="00911BC6" w:rsidRPr="00D068A6">
        <w:rPr>
          <w:lang w:val="es-PE"/>
        </w:rPr>
        <w:t xml:space="preserve"> </w:t>
      </w:r>
      <w:r w:rsidR="00796D09" w:rsidRPr="00D068A6">
        <w:rPr>
          <w:lang w:val="es-PE"/>
        </w:rPr>
        <w:t>optó</w:t>
      </w:r>
      <w:r w:rsidR="00DF268D">
        <w:rPr>
          <w:lang w:val="es-PE"/>
        </w:rPr>
        <w:t xml:space="preserve"> </w:t>
      </w:r>
      <w:r w:rsidR="00BD5CD8">
        <w:rPr>
          <w:lang w:val="es-PE"/>
        </w:rPr>
        <w:t xml:space="preserve"> por </w:t>
      </w:r>
      <w:r w:rsidR="00796D09" w:rsidRPr="00D068A6">
        <w:rPr>
          <w:lang w:val="es-PE"/>
        </w:rPr>
        <w:t>el</w:t>
      </w:r>
      <w:r w:rsidR="00911BC6" w:rsidRPr="00D068A6">
        <w:rPr>
          <w:lang w:val="es-PE"/>
        </w:rPr>
        <w:t xml:space="preserve"> concepto de PBIt. Los argumentos fueron</w:t>
      </w:r>
      <w:r w:rsidR="00BD5CD8">
        <w:rPr>
          <w:lang w:val="es-PE"/>
        </w:rPr>
        <w:t xml:space="preserve"> </w:t>
      </w:r>
      <w:r w:rsidR="00911BC6" w:rsidRPr="00D068A6">
        <w:rPr>
          <w:lang w:val="es-PE"/>
        </w:rPr>
        <w:t>que</w:t>
      </w:r>
      <w:r w:rsidR="00BD5CD8">
        <w:rPr>
          <w:lang w:val="es-PE"/>
        </w:rPr>
        <w:t xml:space="preserve">  (i)</w:t>
      </w:r>
      <w:r w:rsidR="00911BC6" w:rsidRPr="00D068A6">
        <w:rPr>
          <w:lang w:val="es-PE"/>
        </w:rPr>
        <w:t xml:space="preserve"> el PBIt es la metodología estándar utilizada por la profesión y </w:t>
      </w:r>
      <w:r w:rsidR="00BD5CD8">
        <w:rPr>
          <w:lang w:val="es-PE"/>
        </w:rPr>
        <w:t>(ii)</w:t>
      </w:r>
      <w:r w:rsidR="007D181D" w:rsidRPr="00D068A6">
        <w:rPr>
          <w:lang w:val="es-PE"/>
        </w:rPr>
        <w:t xml:space="preserve"> </w:t>
      </w:r>
      <w:r w:rsidR="00911BC6" w:rsidRPr="00D068A6">
        <w:rPr>
          <w:lang w:val="es-PE"/>
        </w:rPr>
        <w:t xml:space="preserve">el supuesto de simetría entre las brechas positivas y negativas “maximiza la transparencia” y disminuye el riesgo de falta de credibilidad en la política fiscal. </w:t>
      </w:r>
      <w:r w:rsidR="004E77DB">
        <w:rPr>
          <w:lang w:val="es-PE"/>
        </w:rPr>
        <w:t xml:space="preserve">Sin embargo, debido a </w:t>
      </w:r>
      <w:r w:rsidR="00911BC6" w:rsidRPr="00D068A6">
        <w:rPr>
          <w:lang w:val="es-PE"/>
        </w:rPr>
        <w:t>que las series t</w:t>
      </w:r>
      <w:r w:rsidR="007D181D" w:rsidRPr="00D068A6">
        <w:rPr>
          <w:lang w:val="es-PE"/>
        </w:rPr>
        <w:t>emporales de PBIt incluyen las f</w:t>
      </w:r>
      <w:r w:rsidR="00911BC6" w:rsidRPr="00D068A6">
        <w:rPr>
          <w:lang w:val="es-PE"/>
        </w:rPr>
        <w:t>uertes recesiones que sufrió la economía chilena, es evidente que el PBIt tiende a situarse bastante por debajo del PBI</w:t>
      </w:r>
      <w:r w:rsidR="00877F9B" w:rsidRPr="00D068A6">
        <w:rPr>
          <w:lang w:val="es-PE"/>
        </w:rPr>
        <w:t>*</w:t>
      </w:r>
      <w:r w:rsidR="004E77DB">
        <w:rPr>
          <w:lang w:val="es-PE"/>
        </w:rPr>
        <w:t xml:space="preserve">, </w:t>
      </w:r>
      <w:r w:rsidR="003E7980" w:rsidRPr="00D068A6">
        <w:rPr>
          <w:lang w:val="es-PE"/>
        </w:rPr>
        <w:t>proporciona</w:t>
      </w:r>
      <w:r w:rsidR="004E77DB">
        <w:rPr>
          <w:lang w:val="es-PE"/>
        </w:rPr>
        <w:t>ndo</w:t>
      </w:r>
      <w:r w:rsidR="003E7980" w:rsidRPr="00D068A6">
        <w:rPr>
          <w:lang w:val="es-PE"/>
        </w:rPr>
        <w:t xml:space="preserve"> información sesgada para las políticas macroeconómicas </w:t>
      </w:r>
      <w:r w:rsidR="006F3598" w:rsidRPr="00D068A6">
        <w:rPr>
          <w:lang w:val="es-PE"/>
        </w:rPr>
        <w:t>contra cíclicas</w:t>
      </w:r>
      <w:r w:rsidR="003E7980" w:rsidRPr="00D068A6">
        <w:rPr>
          <w:lang w:val="es-PE"/>
        </w:rPr>
        <w:t>. Por tanto, la principal desventaja de utilizar la medida tendencia</w:t>
      </w:r>
      <w:r w:rsidR="00C32F25">
        <w:rPr>
          <w:lang w:val="es-PE"/>
        </w:rPr>
        <w:t>l</w:t>
      </w:r>
      <w:r w:rsidR="003E7980" w:rsidRPr="00D068A6">
        <w:rPr>
          <w:lang w:val="es-PE"/>
        </w:rPr>
        <w:t xml:space="preserve"> es el debilitamiento de las políticas </w:t>
      </w:r>
      <w:r w:rsidR="006F3598" w:rsidRPr="00D068A6">
        <w:rPr>
          <w:lang w:val="es-PE"/>
        </w:rPr>
        <w:t>contra cíclicas</w:t>
      </w:r>
      <w:r w:rsidR="003E7980" w:rsidRPr="00D068A6">
        <w:rPr>
          <w:lang w:val="es-PE"/>
        </w:rPr>
        <w:t>. De hecho, si la política macroeconómica trata de alcanzar el PBI</w:t>
      </w:r>
      <w:r w:rsidR="00877F9B" w:rsidRPr="00D068A6">
        <w:rPr>
          <w:lang w:val="es-PE"/>
        </w:rPr>
        <w:t>t</w:t>
      </w:r>
      <w:r w:rsidR="003E7980" w:rsidRPr="00D068A6">
        <w:rPr>
          <w:lang w:val="es-PE"/>
        </w:rPr>
        <w:t xml:space="preserve"> y </w:t>
      </w:r>
      <w:r w:rsidR="00C32F25">
        <w:rPr>
          <w:lang w:val="es-PE"/>
        </w:rPr>
        <w:t xml:space="preserve">se </w:t>
      </w:r>
      <w:r w:rsidR="003E7980" w:rsidRPr="00D068A6">
        <w:rPr>
          <w:lang w:val="es-PE"/>
        </w:rPr>
        <w:t>det</w:t>
      </w:r>
      <w:r w:rsidR="00C32F25">
        <w:rPr>
          <w:lang w:val="es-PE"/>
        </w:rPr>
        <w:t>i</w:t>
      </w:r>
      <w:r w:rsidR="003E7980" w:rsidRPr="00D068A6">
        <w:rPr>
          <w:lang w:val="es-PE"/>
        </w:rPr>
        <w:t xml:space="preserve">ene en ese punto, ello implica mantener una brecha de producto con respecto al PBI* que desalienta la formación de capital y el empleo. </w:t>
      </w:r>
      <w:r w:rsidR="00877F9B" w:rsidRPr="00D068A6">
        <w:rPr>
          <w:lang w:val="es-PE"/>
        </w:rPr>
        <w:t xml:space="preserve"> </w:t>
      </w:r>
    </w:p>
    <w:p w14:paraId="3A763F0C" w14:textId="591AFE4A" w:rsidR="00877F9B" w:rsidRPr="00D068A6" w:rsidRDefault="00D352C6" w:rsidP="00877F9B">
      <w:pPr>
        <w:spacing w:line="360" w:lineRule="auto"/>
        <w:ind w:firstLine="708"/>
        <w:jc w:val="both"/>
        <w:rPr>
          <w:sz w:val="24"/>
          <w:szCs w:val="24"/>
          <w:lang w:val="es-PE"/>
        </w:rPr>
      </w:pPr>
      <w:r>
        <w:rPr>
          <w:sz w:val="24"/>
          <w:szCs w:val="24"/>
          <w:lang w:val="es-PE"/>
        </w:rPr>
        <w:t>Si</w:t>
      </w:r>
      <w:r w:rsidR="003E7980" w:rsidRPr="00D068A6">
        <w:rPr>
          <w:sz w:val="24"/>
          <w:szCs w:val="24"/>
          <w:lang w:val="es-PE"/>
        </w:rPr>
        <w:t xml:space="preserve"> la economía cae por debajo de</w:t>
      </w:r>
      <w:r w:rsidR="002A241A" w:rsidRPr="00D068A6">
        <w:rPr>
          <w:sz w:val="24"/>
          <w:szCs w:val="24"/>
          <w:lang w:val="es-PE"/>
        </w:rPr>
        <w:t xml:space="preserve"> </w:t>
      </w:r>
      <w:r w:rsidR="003E7980" w:rsidRPr="00D068A6">
        <w:rPr>
          <w:sz w:val="24"/>
          <w:szCs w:val="24"/>
          <w:lang w:val="es-PE"/>
        </w:rPr>
        <w:t>la tendencia estimada durante un período relativamente largo</w:t>
      </w:r>
      <w:r w:rsidR="00B15DE1">
        <w:rPr>
          <w:sz w:val="24"/>
          <w:szCs w:val="24"/>
          <w:lang w:val="es-PE"/>
        </w:rPr>
        <w:t>, dado</w:t>
      </w:r>
      <w:r w:rsidR="00C0716B">
        <w:rPr>
          <w:sz w:val="24"/>
          <w:szCs w:val="24"/>
          <w:lang w:val="es-PE"/>
        </w:rPr>
        <w:t xml:space="preserve"> que habitualmente</w:t>
      </w:r>
      <w:r w:rsidR="003E7980" w:rsidRPr="00D068A6">
        <w:rPr>
          <w:sz w:val="24"/>
          <w:szCs w:val="24"/>
          <w:lang w:val="es-PE"/>
        </w:rPr>
        <w:t xml:space="preserve"> deprime la formación de capital</w:t>
      </w:r>
      <w:r w:rsidR="00B15DE1">
        <w:rPr>
          <w:sz w:val="24"/>
          <w:szCs w:val="24"/>
          <w:lang w:val="es-PE"/>
        </w:rPr>
        <w:t>,</w:t>
      </w:r>
      <w:r w:rsidR="003E7980" w:rsidRPr="00D068A6">
        <w:rPr>
          <w:sz w:val="24"/>
          <w:szCs w:val="24"/>
          <w:lang w:val="es-PE"/>
        </w:rPr>
        <w:t xml:space="preserve"> la misma tasa de crecimiento tendencial </w:t>
      </w:r>
      <w:r w:rsidR="00C0716B">
        <w:rPr>
          <w:sz w:val="24"/>
          <w:szCs w:val="24"/>
          <w:lang w:val="es-PE"/>
        </w:rPr>
        <w:t xml:space="preserve">tendería a </w:t>
      </w:r>
      <w:r w:rsidR="002A241A" w:rsidRPr="00D068A6">
        <w:rPr>
          <w:sz w:val="24"/>
          <w:szCs w:val="24"/>
          <w:lang w:val="es-PE"/>
        </w:rPr>
        <w:t>disminuir</w:t>
      </w:r>
      <w:r w:rsidR="003E7980" w:rsidRPr="00D068A6">
        <w:rPr>
          <w:sz w:val="24"/>
          <w:szCs w:val="24"/>
          <w:lang w:val="es-PE"/>
        </w:rPr>
        <w:t>,</w:t>
      </w:r>
      <w:r w:rsidR="002A241A" w:rsidRPr="00D068A6">
        <w:rPr>
          <w:sz w:val="24"/>
          <w:szCs w:val="24"/>
          <w:lang w:val="es-PE"/>
        </w:rPr>
        <w:t xml:space="preserve"> implicando una reducción </w:t>
      </w:r>
      <w:r w:rsidR="00973704" w:rsidRPr="00D068A6">
        <w:rPr>
          <w:sz w:val="24"/>
          <w:szCs w:val="24"/>
          <w:lang w:val="es-PE"/>
        </w:rPr>
        <w:t>esp</w:t>
      </w:r>
      <w:r w:rsidR="00973704">
        <w:rPr>
          <w:sz w:val="24"/>
          <w:szCs w:val="24"/>
          <w:lang w:val="es-PE"/>
        </w:rPr>
        <w:t>ur</w:t>
      </w:r>
      <w:r w:rsidR="00973704" w:rsidRPr="00D068A6">
        <w:rPr>
          <w:sz w:val="24"/>
          <w:szCs w:val="24"/>
          <w:lang w:val="es-PE"/>
        </w:rPr>
        <w:t>ia</w:t>
      </w:r>
      <w:r w:rsidR="003E7980" w:rsidRPr="00D068A6">
        <w:rPr>
          <w:sz w:val="24"/>
          <w:szCs w:val="24"/>
          <w:lang w:val="es-PE"/>
        </w:rPr>
        <w:t xml:space="preserve"> de la brecha de producción, y por tanto un debilitamiento de las políticas contracíclicas generales. De esta manera, las políticas monetarias y fiscales </w:t>
      </w:r>
      <w:r w:rsidR="00C0716B">
        <w:rPr>
          <w:sz w:val="24"/>
          <w:szCs w:val="24"/>
          <w:lang w:val="es-PE"/>
        </w:rPr>
        <w:t xml:space="preserve">que </w:t>
      </w:r>
      <w:r w:rsidR="003E7980" w:rsidRPr="00D068A6">
        <w:rPr>
          <w:sz w:val="24"/>
          <w:szCs w:val="24"/>
          <w:lang w:val="es-PE"/>
        </w:rPr>
        <w:t>siguen el PBIt y no el PBI* tiende</w:t>
      </w:r>
      <w:r w:rsidR="00B15DE1">
        <w:rPr>
          <w:sz w:val="24"/>
          <w:szCs w:val="24"/>
          <w:lang w:val="es-PE"/>
        </w:rPr>
        <w:t>n</w:t>
      </w:r>
      <w:r w:rsidR="003E7980" w:rsidRPr="00D068A6">
        <w:rPr>
          <w:sz w:val="24"/>
          <w:szCs w:val="24"/>
          <w:lang w:val="es-PE"/>
        </w:rPr>
        <w:t xml:space="preserve"> a dar como resultado una “</w:t>
      </w:r>
      <w:r w:rsidR="00046939" w:rsidRPr="00D068A6">
        <w:rPr>
          <w:sz w:val="24"/>
          <w:szCs w:val="24"/>
          <w:lang w:val="es-PE"/>
        </w:rPr>
        <w:t>profecía</w:t>
      </w:r>
      <w:r w:rsidR="003E7980" w:rsidRPr="00D068A6">
        <w:rPr>
          <w:sz w:val="24"/>
          <w:szCs w:val="24"/>
          <w:lang w:val="es-PE"/>
        </w:rPr>
        <w:t xml:space="preserve"> auto-cumplida” que deprime la futura frontera productiva. </w:t>
      </w:r>
      <w:r>
        <w:rPr>
          <w:sz w:val="24"/>
          <w:szCs w:val="24"/>
          <w:lang w:val="es-PE"/>
        </w:rPr>
        <w:t>Esta</w:t>
      </w:r>
      <w:r w:rsidRPr="00D068A6">
        <w:rPr>
          <w:sz w:val="24"/>
          <w:szCs w:val="24"/>
          <w:lang w:val="es-PE"/>
        </w:rPr>
        <w:t xml:space="preserve"> </w:t>
      </w:r>
      <w:r w:rsidR="003E7980" w:rsidRPr="00D068A6">
        <w:rPr>
          <w:sz w:val="24"/>
          <w:szCs w:val="24"/>
          <w:lang w:val="es-PE"/>
        </w:rPr>
        <w:t>fue, probablemente</w:t>
      </w:r>
      <w:r w:rsidR="00C32F25">
        <w:rPr>
          <w:sz w:val="24"/>
          <w:szCs w:val="24"/>
          <w:lang w:val="es-PE"/>
        </w:rPr>
        <w:t>,</w:t>
      </w:r>
      <w:r w:rsidR="003E7980" w:rsidRPr="00D068A6">
        <w:rPr>
          <w:sz w:val="24"/>
          <w:szCs w:val="24"/>
          <w:lang w:val="es-PE"/>
        </w:rPr>
        <w:t xml:space="preserve"> una de las fuerzas que presionó a la baja el crecimiento del PBI* en </w:t>
      </w:r>
      <w:r w:rsidR="00877F9B" w:rsidRPr="00D068A6">
        <w:rPr>
          <w:sz w:val="24"/>
          <w:szCs w:val="24"/>
          <w:lang w:val="es-PE"/>
        </w:rPr>
        <w:t>1999</w:t>
      </w:r>
      <w:r w:rsidR="007B5EC2" w:rsidRPr="00D068A6">
        <w:rPr>
          <w:sz w:val="24"/>
          <w:szCs w:val="24"/>
          <w:lang w:val="es-PE"/>
        </w:rPr>
        <w:t>-</w:t>
      </w:r>
      <w:r w:rsidR="00877F9B" w:rsidRPr="00D068A6">
        <w:rPr>
          <w:sz w:val="24"/>
          <w:szCs w:val="24"/>
          <w:lang w:val="es-PE"/>
        </w:rPr>
        <w:t xml:space="preserve">2007 </w:t>
      </w:r>
      <w:r w:rsidR="003E7980" w:rsidRPr="00D068A6">
        <w:rPr>
          <w:sz w:val="24"/>
          <w:szCs w:val="24"/>
          <w:lang w:val="es-PE"/>
        </w:rPr>
        <w:t>de</w:t>
      </w:r>
      <w:r w:rsidR="00877F9B" w:rsidRPr="00D068A6">
        <w:rPr>
          <w:sz w:val="24"/>
          <w:szCs w:val="24"/>
          <w:lang w:val="es-PE"/>
        </w:rPr>
        <w:t xml:space="preserve"> 7% </w:t>
      </w:r>
      <w:r w:rsidR="003E7980" w:rsidRPr="00D068A6">
        <w:rPr>
          <w:sz w:val="24"/>
          <w:szCs w:val="24"/>
          <w:lang w:val="es-PE"/>
        </w:rPr>
        <w:t>al</w:t>
      </w:r>
      <w:r w:rsidR="00877F9B" w:rsidRPr="00D068A6">
        <w:rPr>
          <w:sz w:val="24"/>
          <w:szCs w:val="24"/>
          <w:lang w:val="es-PE"/>
        </w:rPr>
        <w:t xml:space="preserve"> 4%.</w:t>
      </w:r>
      <w:r w:rsidR="00877F9B" w:rsidRPr="00D068A6">
        <w:rPr>
          <w:rStyle w:val="Refdenotaalpie"/>
          <w:sz w:val="24"/>
          <w:szCs w:val="24"/>
          <w:lang w:val="es-PE"/>
        </w:rPr>
        <w:footnoteReference w:id="11"/>
      </w:r>
      <w:r w:rsidR="00877F9B" w:rsidRPr="00D068A6">
        <w:rPr>
          <w:sz w:val="24"/>
          <w:szCs w:val="24"/>
          <w:lang w:val="es-PE"/>
        </w:rPr>
        <w:t xml:space="preserve"> </w:t>
      </w:r>
      <w:r w:rsidR="003E7980" w:rsidRPr="00D068A6">
        <w:rPr>
          <w:sz w:val="24"/>
          <w:szCs w:val="24"/>
          <w:lang w:val="es-PE"/>
        </w:rPr>
        <w:t>Más aún, como se analiza a continuación, este sesgo fue reforzado por la subestimación del precio del cobre sostenible hasta</w:t>
      </w:r>
      <w:r w:rsidR="00877F9B" w:rsidRPr="00D068A6">
        <w:rPr>
          <w:sz w:val="24"/>
          <w:szCs w:val="24"/>
          <w:lang w:val="es-PE"/>
        </w:rPr>
        <w:t xml:space="preserve"> 2007 (</w:t>
      </w:r>
      <w:r w:rsidR="007506E1">
        <w:rPr>
          <w:sz w:val="24"/>
          <w:szCs w:val="24"/>
          <w:lang w:val="es-PE"/>
        </w:rPr>
        <w:t>v</w:t>
      </w:r>
      <w:r w:rsidR="00ED7230">
        <w:rPr>
          <w:sz w:val="24"/>
          <w:szCs w:val="24"/>
          <w:lang w:val="es-PE"/>
        </w:rPr>
        <w:t>er cuadro</w:t>
      </w:r>
      <w:r w:rsidR="00877F9B" w:rsidRPr="00D068A6">
        <w:rPr>
          <w:sz w:val="24"/>
          <w:szCs w:val="24"/>
          <w:lang w:val="es-PE"/>
        </w:rPr>
        <w:t xml:space="preserve"> </w:t>
      </w:r>
      <w:r w:rsidR="00DF2385" w:rsidRPr="00D068A6">
        <w:rPr>
          <w:sz w:val="24"/>
          <w:szCs w:val="24"/>
          <w:lang w:val="es-PE"/>
        </w:rPr>
        <w:t>3</w:t>
      </w:r>
      <w:r w:rsidR="00877F9B" w:rsidRPr="00D068A6">
        <w:rPr>
          <w:sz w:val="24"/>
          <w:szCs w:val="24"/>
          <w:lang w:val="es-PE"/>
        </w:rPr>
        <w:t xml:space="preserve">, </w:t>
      </w:r>
      <w:r w:rsidR="003E7980" w:rsidRPr="00D068A6">
        <w:rPr>
          <w:sz w:val="24"/>
          <w:szCs w:val="24"/>
          <w:lang w:val="es-PE"/>
        </w:rPr>
        <w:t>líneas</w:t>
      </w:r>
      <w:r w:rsidR="00877F9B" w:rsidRPr="00D068A6">
        <w:rPr>
          <w:sz w:val="24"/>
          <w:szCs w:val="24"/>
          <w:lang w:val="es-PE"/>
        </w:rPr>
        <w:t xml:space="preserve"> 3 </w:t>
      </w:r>
      <w:r w:rsidR="003E7980" w:rsidRPr="00D068A6">
        <w:rPr>
          <w:sz w:val="24"/>
          <w:szCs w:val="24"/>
          <w:lang w:val="es-PE"/>
        </w:rPr>
        <w:t>y</w:t>
      </w:r>
      <w:r w:rsidR="00877F9B" w:rsidRPr="00D068A6">
        <w:rPr>
          <w:sz w:val="24"/>
          <w:szCs w:val="24"/>
          <w:lang w:val="es-PE"/>
        </w:rPr>
        <w:t xml:space="preserve"> 4). </w:t>
      </w:r>
      <w:r w:rsidR="003B7A2F">
        <w:rPr>
          <w:sz w:val="24"/>
          <w:szCs w:val="24"/>
          <w:lang w:val="es-PE"/>
        </w:rPr>
        <w:lastRenderedPageBreak/>
        <w:t xml:space="preserve">Sin </w:t>
      </w:r>
      <w:r w:rsidR="002160AA">
        <w:rPr>
          <w:sz w:val="24"/>
          <w:szCs w:val="24"/>
          <w:lang w:val="es-PE"/>
        </w:rPr>
        <w:t>duda</w:t>
      </w:r>
      <w:r w:rsidR="003B7A2F">
        <w:rPr>
          <w:sz w:val="24"/>
          <w:szCs w:val="24"/>
          <w:lang w:val="es-PE"/>
        </w:rPr>
        <w:t>, e</w:t>
      </w:r>
      <w:r w:rsidR="007B38BF" w:rsidRPr="00D068A6">
        <w:rPr>
          <w:sz w:val="24"/>
          <w:szCs w:val="24"/>
          <w:lang w:val="es-PE"/>
        </w:rPr>
        <w:t xml:space="preserve">s difícil negar que </w:t>
      </w:r>
      <w:r>
        <w:rPr>
          <w:sz w:val="24"/>
          <w:szCs w:val="24"/>
          <w:lang w:val="es-PE"/>
        </w:rPr>
        <w:t>esos</w:t>
      </w:r>
      <w:r w:rsidRPr="00D068A6">
        <w:rPr>
          <w:sz w:val="24"/>
          <w:szCs w:val="24"/>
          <w:lang w:val="es-PE"/>
        </w:rPr>
        <w:t xml:space="preserve"> </w:t>
      </w:r>
      <w:r w:rsidR="007B38BF" w:rsidRPr="00D068A6">
        <w:rPr>
          <w:sz w:val="24"/>
          <w:szCs w:val="24"/>
          <w:lang w:val="es-PE"/>
        </w:rPr>
        <w:t>años de brecha recesiva deben haber debilitado los “</w:t>
      </w:r>
      <w:r w:rsidR="00046939" w:rsidRPr="00D068A6">
        <w:rPr>
          <w:sz w:val="24"/>
          <w:szCs w:val="24"/>
          <w:lang w:val="es-PE"/>
        </w:rPr>
        <w:t>espíritus</w:t>
      </w:r>
      <w:r w:rsidR="007B38BF" w:rsidRPr="00D068A6">
        <w:rPr>
          <w:sz w:val="24"/>
          <w:szCs w:val="24"/>
          <w:lang w:val="es-PE"/>
        </w:rPr>
        <w:t xml:space="preserve"> animales” en contraste con el entorno alentador de los años 90. </w:t>
      </w:r>
      <w:r w:rsidR="00877F9B" w:rsidRPr="00D068A6">
        <w:rPr>
          <w:sz w:val="24"/>
          <w:szCs w:val="24"/>
          <w:lang w:val="es-PE"/>
        </w:rPr>
        <w:t xml:space="preserve"> </w:t>
      </w:r>
    </w:p>
    <w:p w14:paraId="7AEFDB57" w14:textId="3C42D754" w:rsidR="00AC7E47" w:rsidRPr="00D068A6" w:rsidRDefault="00AC7E47" w:rsidP="00877F9B">
      <w:pPr>
        <w:spacing w:line="360" w:lineRule="auto"/>
        <w:ind w:firstLine="708"/>
        <w:jc w:val="both"/>
        <w:rPr>
          <w:sz w:val="24"/>
          <w:szCs w:val="24"/>
          <w:lang w:val="es-PE"/>
        </w:rPr>
      </w:pPr>
      <w:r w:rsidRPr="00D068A6">
        <w:rPr>
          <w:sz w:val="24"/>
          <w:szCs w:val="24"/>
          <w:lang w:val="es-PE"/>
        </w:rPr>
        <w:tab/>
      </w:r>
      <w:r w:rsidRPr="00D068A6">
        <w:rPr>
          <w:sz w:val="24"/>
          <w:szCs w:val="24"/>
          <w:lang w:val="es-PE"/>
        </w:rPr>
        <w:tab/>
      </w:r>
      <w:r w:rsidRPr="00D068A6">
        <w:rPr>
          <w:sz w:val="24"/>
          <w:szCs w:val="24"/>
          <w:lang w:val="es-PE"/>
        </w:rPr>
        <w:tab/>
      </w:r>
      <w:r w:rsidRPr="00D068A6">
        <w:rPr>
          <w:sz w:val="24"/>
          <w:szCs w:val="24"/>
          <w:lang w:val="es-PE"/>
        </w:rPr>
        <w:tab/>
      </w:r>
      <w:r w:rsidR="00ED7230">
        <w:rPr>
          <w:sz w:val="24"/>
          <w:szCs w:val="24"/>
          <w:lang w:val="es-PE"/>
        </w:rPr>
        <w:t>Cuadro</w:t>
      </w:r>
      <w:r w:rsidRPr="00D068A6">
        <w:rPr>
          <w:sz w:val="24"/>
          <w:szCs w:val="24"/>
          <w:lang w:val="es-PE"/>
        </w:rPr>
        <w:t xml:space="preserve"> 3</w:t>
      </w:r>
    </w:p>
    <w:p w14:paraId="655D76C4" w14:textId="120BAA8A" w:rsidR="00877F9B" w:rsidRPr="00D068A6" w:rsidRDefault="002A241A" w:rsidP="008941CD">
      <w:pPr>
        <w:spacing w:line="360" w:lineRule="auto"/>
        <w:ind w:firstLine="708"/>
        <w:jc w:val="both"/>
        <w:rPr>
          <w:sz w:val="24"/>
          <w:szCs w:val="24"/>
          <w:lang w:val="es-PE"/>
        </w:rPr>
      </w:pPr>
      <w:r w:rsidRPr="00D068A6">
        <w:rPr>
          <w:sz w:val="24"/>
          <w:szCs w:val="24"/>
          <w:lang w:val="es-PE"/>
        </w:rPr>
        <w:t>Dicho</w:t>
      </w:r>
      <w:r w:rsidR="007B38BF" w:rsidRPr="00D068A6">
        <w:rPr>
          <w:sz w:val="24"/>
          <w:szCs w:val="24"/>
          <w:lang w:val="es-PE"/>
        </w:rPr>
        <w:t xml:space="preserve"> sesgo hacia la subestimación del gasto público se revirti</w:t>
      </w:r>
      <w:r w:rsidR="00C32F25">
        <w:rPr>
          <w:sz w:val="24"/>
          <w:szCs w:val="24"/>
          <w:lang w:val="es-PE"/>
        </w:rPr>
        <w:t xml:space="preserve">ó en la segunda etapa. </w:t>
      </w:r>
      <w:r w:rsidR="007552AB">
        <w:rPr>
          <w:sz w:val="24"/>
          <w:szCs w:val="24"/>
          <w:lang w:val="es-PE"/>
        </w:rPr>
        <w:t>Para</w:t>
      </w:r>
      <w:r w:rsidR="007B38BF" w:rsidRPr="00D068A6">
        <w:rPr>
          <w:sz w:val="24"/>
          <w:szCs w:val="24"/>
          <w:lang w:val="es-PE"/>
        </w:rPr>
        <w:t xml:space="preserve"> estima</w:t>
      </w:r>
      <w:r w:rsidR="007552AB">
        <w:rPr>
          <w:sz w:val="24"/>
          <w:szCs w:val="24"/>
          <w:lang w:val="es-PE"/>
        </w:rPr>
        <w:t>r</w:t>
      </w:r>
      <w:r w:rsidR="007B38BF" w:rsidRPr="00D068A6">
        <w:rPr>
          <w:sz w:val="24"/>
          <w:szCs w:val="24"/>
          <w:lang w:val="es-PE"/>
        </w:rPr>
        <w:t xml:space="preserve"> el ingreso fiscal estructural</w:t>
      </w:r>
      <w:r w:rsidR="007552AB">
        <w:rPr>
          <w:sz w:val="24"/>
          <w:szCs w:val="24"/>
          <w:lang w:val="es-PE"/>
        </w:rPr>
        <w:t xml:space="preserve"> el gobierno c</w:t>
      </w:r>
      <w:r w:rsidR="007B38BF" w:rsidRPr="00D068A6">
        <w:rPr>
          <w:sz w:val="24"/>
          <w:szCs w:val="24"/>
          <w:lang w:val="es-PE"/>
        </w:rPr>
        <w:t xml:space="preserve">alcula la tasa de </w:t>
      </w:r>
      <w:r w:rsidR="00C32F25">
        <w:rPr>
          <w:sz w:val="24"/>
          <w:szCs w:val="24"/>
          <w:lang w:val="es-PE"/>
        </w:rPr>
        <w:t>variación</w:t>
      </w:r>
      <w:r w:rsidR="007B38BF" w:rsidRPr="00D068A6">
        <w:rPr>
          <w:sz w:val="24"/>
          <w:szCs w:val="24"/>
          <w:lang w:val="es-PE"/>
        </w:rPr>
        <w:t xml:space="preserve"> del PBIt para el siguiente año fiscal</w:t>
      </w:r>
      <w:r w:rsidR="007552AB">
        <w:rPr>
          <w:sz w:val="24"/>
          <w:szCs w:val="24"/>
          <w:lang w:val="es-PE"/>
        </w:rPr>
        <w:t>.</w:t>
      </w:r>
      <w:r w:rsidR="007B38BF" w:rsidRPr="00D068A6">
        <w:rPr>
          <w:sz w:val="24"/>
          <w:szCs w:val="24"/>
          <w:lang w:val="es-PE"/>
        </w:rPr>
        <w:t xml:space="preserve"> </w:t>
      </w:r>
      <w:r w:rsidR="007552AB">
        <w:rPr>
          <w:sz w:val="24"/>
          <w:szCs w:val="24"/>
          <w:lang w:val="es-PE"/>
        </w:rPr>
        <w:t>U</w:t>
      </w:r>
      <w:r w:rsidR="007B38BF" w:rsidRPr="00D068A6">
        <w:rPr>
          <w:sz w:val="24"/>
          <w:szCs w:val="24"/>
          <w:lang w:val="es-PE"/>
        </w:rPr>
        <w:t>tiliza una función de producción</w:t>
      </w:r>
      <w:r w:rsidR="007552AB">
        <w:rPr>
          <w:sz w:val="24"/>
          <w:szCs w:val="24"/>
          <w:lang w:val="es-PE"/>
        </w:rPr>
        <w:t xml:space="preserve"> y</w:t>
      </w:r>
      <w:r w:rsidR="007B38BF" w:rsidRPr="00D068A6">
        <w:rPr>
          <w:sz w:val="24"/>
          <w:szCs w:val="24"/>
          <w:lang w:val="es-PE"/>
        </w:rPr>
        <w:t xml:space="preserve"> emplea como insumos el promedio simple (excluyendo los 2 extremos) de las proyecciones que preparan los miemb</w:t>
      </w:r>
      <w:r w:rsidR="00C32F25">
        <w:rPr>
          <w:sz w:val="24"/>
          <w:szCs w:val="24"/>
          <w:lang w:val="es-PE"/>
        </w:rPr>
        <w:t>ros del Comité Independiente de</w:t>
      </w:r>
      <w:r w:rsidR="007B38BF" w:rsidRPr="00D068A6">
        <w:rPr>
          <w:sz w:val="24"/>
          <w:szCs w:val="24"/>
          <w:lang w:val="es-PE"/>
        </w:rPr>
        <w:t xml:space="preserve">l PBI </w:t>
      </w:r>
      <w:r w:rsidR="00C32F25">
        <w:rPr>
          <w:sz w:val="24"/>
          <w:szCs w:val="24"/>
          <w:lang w:val="es-PE"/>
        </w:rPr>
        <w:t xml:space="preserve">Tendencial </w:t>
      </w:r>
      <w:r w:rsidR="007B38BF" w:rsidRPr="00D068A6">
        <w:rPr>
          <w:sz w:val="24"/>
          <w:szCs w:val="24"/>
          <w:lang w:val="es-PE"/>
        </w:rPr>
        <w:t xml:space="preserve">sobre los cambios </w:t>
      </w:r>
      <w:r w:rsidR="00C0716B">
        <w:rPr>
          <w:sz w:val="24"/>
          <w:szCs w:val="24"/>
          <w:lang w:val="es-PE"/>
        </w:rPr>
        <w:t xml:space="preserve">porcentuales </w:t>
      </w:r>
      <w:r w:rsidR="007B38BF" w:rsidRPr="00D068A6">
        <w:rPr>
          <w:sz w:val="24"/>
          <w:szCs w:val="24"/>
          <w:lang w:val="es-PE"/>
        </w:rPr>
        <w:t xml:space="preserve">esperados en la formación bruta de capital, la fuerza laboral y la productividad total de los factores para el año en curso y el próximo quinquenio. Con dicha información y datos históricos, cada año el </w:t>
      </w:r>
      <w:r w:rsidR="008941CD" w:rsidRPr="00D068A6">
        <w:rPr>
          <w:sz w:val="24"/>
          <w:szCs w:val="24"/>
          <w:lang w:val="es-PE"/>
        </w:rPr>
        <w:t xml:space="preserve">Ministerio de Economía </w:t>
      </w:r>
      <w:r w:rsidR="007552AB">
        <w:rPr>
          <w:sz w:val="24"/>
          <w:szCs w:val="24"/>
          <w:lang w:val="es-PE"/>
        </w:rPr>
        <w:t>re</w:t>
      </w:r>
      <w:r w:rsidR="008941CD" w:rsidRPr="00D068A6">
        <w:rPr>
          <w:sz w:val="24"/>
          <w:szCs w:val="24"/>
          <w:lang w:val="es-PE"/>
        </w:rPr>
        <w:t>estima una serie anual de largo plazo de</w:t>
      </w:r>
      <w:r w:rsidR="00C32F25">
        <w:rPr>
          <w:sz w:val="24"/>
          <w:szCs w:val="24"/>
          <w:lang w:val="es-PE"/>
        </w:rPr>
        <w:t>l</w:t>
      </w:r>
      <w:r w:rsidR="008941CD" w:rsidRPr="00D068A6">
        <w:rPr>
          <w:sz w:val="24"/>
          <w:szCs w:val="24"/>
          <w:lang w:val="es-PE"/>
        </w:rPr>
        <w:t xml:space="preserve"> PBIt</w:t>
      </w:r>
      <w:r w:rsidR="007B38BF" w:rsidRPr="00D068A6">
        <w:rPr>
          <w:sz w:val="24"/>
          <w:szCs w:val="24"/>
          <w:lang w:val="es-PE"/>
        </w:rPr>
        <w:t xml:space="preserve"> </w:t>
      </w:r>
      <w:r w:rsidR="00877F9B" w:rsidRPr="00D068A6">
        <w:rPr>
          <w:sz w:val="24"/>
          <w:szCs w:val="24"/>
          <w:lang w:val="es-PE"/>
        </w:rPr>
        <w:t xml:space="preserve"> (</w:t>
      </w:r>
      <w:r w:rsidR="007506E1">
        <w:rPr>
          <w:sz w:val="24"/>
          <w:szCs w:val="24"/>
          <w:lang w:val="es-PE"/>
        </w:rPr>
        <w:t>v</w:t>
      </w:r>
      <w:r w:rsidR="008941CD" w:rsidRPr="00D068A6">
        <w:rPr>
          <w:sz w:val="24"/>
          <w:szCs w:val="24"/>
          <w:lang w:val="es-PE"/>
        </w:rPr>
        <w:t>er</w:t>
      </w:r>
      <w:r w:rsidR="00877F9B" w:rsidRPr="00D068A6">
        <w:rPr>
          <w:sz w:val="24"/>
          <w:szCs w:val="24"/>
          <w:lang w:val="es-PE"/>
        </w:rPr>
        <w:t xml:space="preserve"> Ffrench-Davis, 2014, </w:t>
      </w:r>
      <w:r w:rsidR="00B15DE1">
        <w:rPr>
          <w:sz w:val="24"/>
          <w:szCs w:val="24"/>
          <w:lang w:val="es-PE"/>
        </w:rPr>
        <w:t>Gráfico</w:t>
      </w:r>
      <w:r w:rsidR="00877F9B" w:rsidRPr="00D068A6">
        <w:rPr>
          <w:sz w:val="24"/>
          <w:szCs w:val="24"/>
          <w:lang w:val="es-PE"/>
        </w:rPr>
        <w:t xml:space="preserve"> A.2). </w:t>
      </w:r>
    </w:p>
    <w:p w14:paraId="4DA21B03" w14:textId="0AC4AD49" w:rsidR="00877F9B" w:rsidRPr="00D068A6" w:rsidRDefault="008941CD" w:rsidP="008941CD">
      <w:pPr>
        <w:spacing w:line="360" w:lineRule="auto"/>
        <w:ind w:firstLine="708"/>
        <w:jc w:val="both"/>
        <w:rPr>
          <w:sz w:val="24"/>
          <w:szCs w:val="24"/>
          <w:lang w:val="es-PE"/>
        </w:rPr>
      </w:pPr>
      <w:r w:rsidRPr="00D068A6">
        <w:rPr>
          <w:sz w:val="24"/>
          <w:szCs w:val="24"/>
          <w:lang w:val="es-PE"/>
        </w:rPr>
        <w:t xml:space="preserve">Resulta </w:t>
      </w:r>
      <w:r w:rsidR="002160AA">
        <w:rPr>
          <w:sz w:val="24"/>
          <w:szCs w:val="24"/>
          <w:lang w:val="es-PE"/>
        </w:rPr>
        <w:t>muy relevante</w:t>
      </w:r>
      <w:r w:rsidRPr="00D068A6">
        <w:rPr>
          <w:sz w:val="24"/>
          <w:szCs w:val="24"/>
          <w:lang w:val="es-PE"/>
        </w:rPr>
        <w:t xml:space="preserve"> que para estimar los ingresos fiscales estructurales de cada año se haya utilizado la tasa de </w:t>
      </w:r>
      <w:r w:rsidR="00C0716B">
        <w:rPr>
          <w:sz w:val="24"/>
          <w:szCs w:val="24"/>
          <w:lang w:val="es-PE"/>
        </w:rPr>
        <w:t>variación</w:t>
      </w:r>
      <w:r w:rsidRPr="00D068A6">
        <w:rPr>
          <w:sz w:val="24"/>
          <w:szCs w:val="24"/>
          <w:lang w:val="es-PE"/>
        </w:rPr>
        <w:t xml:space="preserve"> </w:t>
      </w:r>
      <w:r w:rsidR="007552AB">
        <w:rPr>
          <w:sz w:val="24"/>
          <w:szCs w:val="24"/>
          <w:lang w:val="es-PE"/>
        </w:rPr>
        <w:t xml:space="preserve">anual </w:t>
      </w:r>
      <w:r w:rsidRPr="00D068A6">
        <w:rPr>
          <w:sz w:val="24"/>
          <w:szCs w:val="24"/>
          <w:lang w:val="es-PE"/>
        </w:rPr>
        <w:t xml:space="preserve">del PBIt (y la elasticidad-ingreso correspondiente) para el año fiscal </w:t>
      </w:r>
      <w:r w:rsidR="00877F9B" w:rsidRPr="00D068A6">
        <w:rPr>
          <w:sz w:val="24"/>
          <w:szCs w:val="24"/>
          <w:lang w:val="es-PE"/>
        </w:rPr>
        <w:t xml:space="preserve">(t) </w:t>
      </w:r>
      <w:r w:rsidR="000C138A">
        <w:rPr>
          <w:sz w:val="24"/>
          <w:szCs w:val="24"/>
          <w:lang w:val="es-PE"/>
        </w:rPr>
        <w:t xml:space="preserve">respecto de (t-1) </w:t>
      </w:r>
      <w:r w:rsidR="002A241A" w:rsidRPr="00D068A6">
        <w:rPr>
          <w:sz w:val="24"/>
          <w:szCs w:val="24"/>
          <w:lang w:val="es-PE"/>
        </w:rPr>
        <w:t>proveniente de la nueva</w:t>
      </w:r>
      <w:r w:rsidRPr="00D068A6">
        <w:rPr>
          <w:sz w:val="24"/>
          <w:szCs w:val="24"/>
          <w:lang w:val="es-PE"/>
        </w:rPr>
        <w:t xml:space="preserve"> serie</w:t>
      </w:r>
      <w:r w:rsidR="00877F9B" w:rsidRPr="00D068A6">
        <w:rPr>
          <w:sz w:val="24"/>
          <w:szCs w:val="24"/>
          <w:lang w:val="es-PE"/>
        </w:rPr>
        <w:t xml:space="preserve">, </w:t>
      </w:r>
      <w:r w:rsidRPr="00D068A6">
        <w:rPr>
          <w:sz w:val="24"/>
          <w:szCs w:val="24"/>
          <w:lang w:val="es-PE"/>
        </w:rPr>
        <w:t>sin prestar atención</w:t>
      </w:r>
      <w:r w:rsidR="00046939" w:rsidRPr="00D068A6">
        <w:rPr>
          <w:sz w:val="24"/>
          <w:szCs w:val="24"/>
          <w:lang w:val="es-PE"/>
        </w:rPr>
        <w:t xml:space="preserve"> </w:t>
      </w:r>
      <w:r w:rsidRPr="00D068A6">
        <w:rPr>
          <w:sz w:val="24"/>
          <w:szCs w:val="24"/>
          <w:lang w:val="es-PE"/>
        </w:rPr>
        <w:t xml:space="preserve">a cualquier </w:t>
      </w:r>
      <w:r w:rsidR="00877F9B" w:rsidRPr="00D068A6">
        <w:rPr>
          <w:sz w:val="24"/>
          <w:szCs w:val="24"/>
          <w:lang w:val="es-PE"/>
        </w:rPr>
        <w:t xml:space="preserve">“error” </w:t>
      </w:r>
      <w:r w:rsidRPr="00D068A6">
        <w:rPr>
          <w:sz w:val="24"/>
          <w:szCs w:val="24"/>
          <w:lang w:val="es-PE"/>
        </w:rPr>
        <w:t xml:space="preserve">del estimado del año previo </w:t>
      </w:r>
      <w:r w:rsidR="00877F9B" w:rsidRPr="00D068A6">
        <w:rPr>
          <w:sz w:val="24"/>
          <w:szCs w:val="24"/>
          <w:lang w:val="es-PE"/>
        </w:rPr>
        <w:t xml:space="preserve">(t-1), </w:t>
      </w:r>
      <w:r w:rsidRPr="00D068A6">
        <w:rPr>
          <w:sz w:val="24"/>
          <w:szCs w:val="24"/>
          <w:lang w:val="es-PE"/>
        </w:rPr>
        <w:t xml:space="preserve">o eventos inesperados como un sismo que destruye capacidad. </w:t>
      </w:r>
      <w:r w:rsidRPr="00371488">
        <w:rPr>
          <w:sz w:val="24"/>
          <w:szCs w:val="24"/>
          <w:lang w:val="es-PE"/>
        </w:rPr>
        <w:t xml:space="preserve">Esta característica implicó que entre los </w:t>
      </w:r>
      <w:r w:rsidR="000C138A" w:rsidRPr="00371488">
        <w:rPr>
          <w:i/>
          <w:sz w:val="24"/>
          <w:szCs w:val="24"/>
          <w:lang w:val="es-PE"/>
        </w:rPr>
        <w:t>peaks</w:t>
      </w:r>
      <w:r w:rsidRPr="00371488">
        <w:rPr>
          <w:sz w:val="24"/>
          <w:szCs w:val="24"/>
          <w:lang w:val="es-PE"/>
        </w:rPr>
        <w:t xml:space="preserve"> de producción de  </w:t>
      </w:r>
      <w:r w:rsidR="00877F9B" w:rsidRPr="00371488">
        <w:rPr>
          <w:sz w:val="24"/>
          <w:szCs w:val="24"/>
          <w:lang w:val="es-PE"/>
        </w:rPr>
        <w:t xml:space="preserve">2007 </w:t>
      </w:r>
      <w:r w:rsidRPr="00371488">
        <w:rPr>
          <w:sz w:val="24"/>
          <w:szCs w:val="24"/>
          <w:lang w:val="es-PE"/>
        </w:rPr>
        <w:t>y</w:t>
      </w:r>
      <w:r w:rsidR="00877F9B" w:rsidRPr="00371488">
        <w:rPr>
          <w:sz w:val="24"/>
          <w:szCs w:val="24"/>
          <w:lang w:val="es-PE"/>
        </w:rPr>
        <w:t xml:space="preserve"> 2013 </w:t>
      </w:r>
      <w:r w:rsidRPr="00371488">
        <w:rPr>
          <w:sz w:val="24"/>
          <w:szCs w:val="24"/>
          <w:lang w:val="es-PE"/>
        </w:rPr>
        <w:t xml:space="preserve">la suma de las tasas de crecimiento de PBI </w:t>
      </w:r>
      <w:r w:rsidR="000C138A" w:rsidRPr="00371488">
        <w:rPr>
          <w:sz w:val="24"/>
          <w:szCs w:val="24"/>
          <w:lang w:val="es-PE"/>
        </w:rPr>
        <w:t>efectivo</w:t>
      </w:r>
      <w:r w:rsidRPr="00371488">
        <w:rPr>
          <w:sz w:val="24"/>
          <w:szCs w:val="24"/>
          <w:lang w:val="es-PE"/>
        </w:rPr>
        <w:t xml:space="preserve"> fueran 6,8 puntos menores que la suma acumulada de las tasas de crecimiento de PBIt emplea</w:t>
      </w:r>
      <w:r w:rsidR="000C138A" w:rsidRPr="00371488">
        <w:rPr>
          <w:sz w:val="24"/>
          <w:szCs w:val="24"/>
          <w:lang w:val="es-PE"/>
        </w:rPr>
        <w:t>do</w:t>
      </w:r>
      <w:r w:rsidRPr="00371488">
        <w:rPr>
          <w:sz w:val="24"/>
          <w:szCs w:val="24"/>
          <w:lang w:val="es-PE"/>
        </w:rPr>
        <w:t xml:space="preserve"> para estimar los cambios de los ingresos fiscales estructurales de cada año fiscal</w:t>
      </w:r>
      <w:r w:rsidRPr="00D068A6">
        <w:rPr>
          <w:sz w:val="24"/>
          <w:szCs w:val="24"/>
          <w:lang w:val="es-PE"/>
        </w:rPr>
        <w:t xml:space="preserve"> </w:t>
      </w:r>
      <w:r w:rsidR="00877F9B" w:rsidRPr="00D068A6">
        <w:rPr>
          <w:sz w:val="24"/>
          <w:szCs w:val="24"/>
          <w:lang w:val="es-PE"/>
        </w:rPr>
        <w:t xml:space="preserve"> (</w:t>
      </w:r>
      <w:r w:rsidR="007506E1">
        <w:rPr>
          <w:sz w:val="24"/>
          <w:szCs w:val="24"/>
          <w:lang w:val="es-PE"/>
        </w:rPr>
        <w:t>v</w:t>
      </w:r>
      <w:r w:rsidR="007431E0" w:rsidRPr="00D068A6">
        <w:rPr>
          <w:sz w:val="24"/>
          <w:szCs w:val="24"/>
          <w:lang w:val="es-PE"/>
        </w:rPr>
        <w:t xml:space="preserve">er </w:t>
      </w:r>
      <w:r w:rsidR="00ED7230">
        <w:rPr>
          <w:sz w:val="24"/>
          <w:szCs w:val="24"/>
          <w:lang w:val="es-PE"/>
        </w:rPr>
        <w:t>cuadro</w:t>
      </w:r>
      <w:r w:rsidR="00877F9B" w:rsidRPr="00D068A6">
        <w:rPr>
          <w:sz w:val="24"/>
          <w:szCs w:val="24"/>
          <w:lang w:val="es-PE"/>
        </w:rPr>
        <w:t xml:space="preserve"> </w:t>
      </w:r>
      <w:r w:rsidR="00DF2385" w:rsidRPr="00D068A6">
        <w:rPr>
          <w:sz w:val="24"/>
          <w:szCs w:val="24"/>
          <w:lang w:val="es-PE"/>
        </w:rPr>
        <w:t>3</w:t>
      </w:r>
      <w:r w:rsidR="00877F9B" w:rsidRPr="00D068A6">
        <w:rPr>
          <w:sz w:val="24"/>
          <w:szCs w:val="24"/>
          <w:lang w:val="es-PE"/>
        </w:rPr>
        <w:t xml:space="preserve">, </w:t>
      </w:r>
      <w:r w:rsidR="007431E0" w:rsidRPr="00D068A6">
        <w:rPr>
          <w:sz w:val="24"/>
          <w:szCs w:val="24"/>
          <w:lang w:val="es-PE"/>
        </w:rPr>
        <w:t>filas</w:t>
      </w:r>
      <w:r w:rsidR="00877F9B" w:rsidRPr="00D068A6">
        <w:rPr>
          <w:sz w:val="24"/>
          <w:szCs w:val="24"/>
          <w:lang w:val="es-PE"/>
        </w:rPr>
        <w:t xml:space="preserve"> 1 </w:t>
      </w:r>
      <w:r w:rsidR="007431E0" w:rsidRPr="00D068A6">
        <w:rPr>
          <w:sz w:val="24"/>
          <w:szCs w:val="24"/>
          <w:lang w:val="es-PE"/>
        </w:rPr>
        <w:t>y</w:t>
      </w:r>
      <w:r w:rsidR="00877F9B" w:rsidRPr="00D068A6">
        <w:rPr>
          <w:sz w:val="24"/>
          <w:szCs w:val="24"/>
          <w:lang w:val="es-PE"/>
        </w:rPr>
        <w:t xml:space="preserve"> 2). </w:t>
      </w:r>
      <w:r w:rsidR="007431E0" w:rsidRPr="00D068A6">
        <w:rPr>
          <w:sz w:val="24"/>
          <w:szCs w:val="24"/>
          <w:lang w:val="es-PE"/>
        </w:rPr>
        <w:t>Además</w:t>
      </w:r>
      <w:r w:rsidR="00877F9B" w:rsidRPr="00D068A6">
        <w:rPr>
          <w:sz w:val="24"/>
          <w:szCs w:val="24"/>
          <w:lang w:val="es-PE"/>
        </w:rPr>
        <w:t>,</w:t>
      </w:r>
      <w:r w:rsidR="007431E0" w:rsidRPr="00D068A6">
        <w:rPr>
          <w:sz w:val="24"/>
          <w:szCs w:val="24"/>
          <w:lang w:val="es-PE"/>
        </w:rPr>
        <w:t xml:space="preserve"> como se detalla a continuación, </w:t>
      </w:r>
      <w:r w:rsidR="00B15DE1">
        <w:rPr>
          <w:sz w:val="24"/>
          <w:szCs w:val="24"/>
          <w:lang w:val="es-PE"/>
        </w:rPr>
        <w:t>se</w:t>
      </w:r>
      <w:r w:rsidR="007431E0" w:rsidRPr="00D068A6">
        <w:rPr>
          <w:sz w:val="24"/>
          <w:szCs w:val="24"/>
          <w:lang w:val="es-PE"/>
        </w:rPr>
        <w:t xml:space="preserve"> </w:t>
      </w:r>
      <w:r w:rsidR="00B15DE1">
        <w:rPr>
          <w:sz w:val="24"/>
          <w:szCs w:val="24"/>
          <w:lang w:val="es-PE"/>
        </w:rPr>
        <w:t xml:space="preserve">pasó a </w:t>
      </w:r>
      <w:r w:rsidR="007431E0" w:rsidRPr="00D068A6">
        <w:rPr>
          <w:sz w:val="24"/>
          <w:szCs w:val="24"/>
          <w:lang w:val="es-PE"/>
        </w:rPr>
        <w:t>s</w:t>
      </w:r>
      <w:r w:rsidR="00B15DE1">
        <w:rPr>
          <w:sz w:val="24"/>
          <w:szCs w:val="24"/>
          <w:lang w:val="es-PE"/>
        </w:rPr>
        <w:t>o</w:t>
      </w:r>
      <w:r w:rsidR="007431E0" w:rsidRPr="00D068A6">
        <w:rPr>
          <w:sz w:val="24"/>
          <w:szCs w:val="24"/>
          <w:lang w:val="es-PE"/>
        </w:rPr>
        <w:t>b</w:t>
      </w:r>
      <w:r w:rsidR="00B15DE1">
        <w:rPr>
          <w:sz w:val="24"/>
          <w:szCs w:val="24"/>
          <w:lang w:val="es-PE"/>
        </w:rPr>
        <w:t>r</w:t>
      </w:r>
      <w:r w:rsidR="007431E0" w:rsidRPr="00D068A6">
        <w:rPr>
          <w:sz w:val="24"/>
          <w:szCs w:val="24"/>
          <w:lang w:val="es-PE"/>
        </w:rPr>
        <w:t>estim</w:t>
      </w:r>
      <w:r w:rsidR="00B15DE1">
        <w:rPr>
          <w:sz w:val="24"/>
          <w:szCs w:val="24"/>
          <w:lang w:val="es-PE"/>
        </w:rPr>
        <w:t>ar</w:t>
      </w:r>
      <w:r w:rsidR="007431E0" w:rsidRPr="00D068A6">
        <w:rPr>
          <w:sz w:val="24"/>
          <w:szCs w:val="24"/>
          <w:lang w:val="es-PE"/>
        </w:rPr>
        <w:t xml:space="preserve"> el precio</w:t>
      </w:r>
      <w:r w:rsidR="00DD2BA9">
        <w:rPr>
          <w:sz w:val="24"/>
          <w:szCs w:val="24"/>
          <w:lang w:val="es-PE"/>
        </w:rPr>
        <w:t xml:space="preserve"> tendencial</w:t>
      </w:r>
      <w:r w:rsidR="007431E0" w:rsidRPr="00D068A6">
        <w:rPr>
          <w:sz w:val="24"/>
          <w:szCs w:val="24"/>
          <w:lang w:val="es-PE"/>
        </w:rPr>
        <w:t xml:space="preserve"> de</w:t>
      </w:r>
      <w:r w:rsidR="00DD2BA9">
        <w:rPr>
          <w:sz w:val="24"/>
          <w:szCs w:val="24"/>
          <w:lang w:val="es-PE"/>
        </w:rPr>
        <w:t>l</w:t>
      </w:r>
      <w:r w:rsidR="007431E0" w:rsidRPr="00D068A6">
        <w:rPr>
          <w:sz w:val="24"/>
          <w:szCs w:val="24"/>
          <w:lang w:val="es-PE"/>
        </w:rPr>
        <w:t xml:space="preserve"> cobre</w:t>
      </w:r>
      <w:r w:rsidR="00877F9B" w:rsidRPr="00D068A6">
        <w:rPr>
          <w:sz w:val="24"/>
          <w:szCs w:val="24"/>
          <w:lang w:val="es-PE"/>
        </w:rPr>
        <w:t xml:space="preserve">. </w:t>
      </w:r>
    </w:p>
    <w:p w14:paraId="2D35E190" w14:textId="363870A2" w:rsidR="00877F9B" w:rsidRPr="00D068A6" w:rsidRDefault="007431E0" w:rsidP="00877F9B">
      <w:pPr>
        <w:pStyle w:val="Prrafodelista"/>
        <w:numPr>
          <w:ilvl w:val="0"/>
          <w:numId w:val="4"/>
        </w:numPr>
        <w:tabs>
          <w:tab w:val="left" w:pos="720"/>
          <w:tab w:val="left" w:pos="900"/>
        </w:tabs>
        <w:spacing w:line="360" w:lineRule="auto"/>
        <w:jc w:val="both"/>
        <w:rPr>
          <w:sz w:val="24"/>
          <w:szCs w:val="24"/>
          <w:u w:val="single"/>
          <w:lang w:val="es-PE"/>
        </w:rPr>
      </w:pPr>
      <w:r w:rsidRPr="00D068A6">
        <w:rPr>
          <w:sz w:val="24"/>
          <w:szCs w:val="24"/>
          <w:u w:val="single"/>
          <w:lang w:val="es-PE"/>
        </w:rPr>
        <w:t xml:space="preserve">El precio del cobre y </w:t>
      </w:r>
      <w:r w:rsidR="007552AB">
        <w:rPr>
          <w:sz w:val="24"/>
          <w:szCs w:val="24"/>
          <w:u w:val="single"/>
          <w:lang w:val="es-PE"/>
        </w:rPr>
        <w:t>el tipo</w:t>
      </w:r>
      <w:r w:rsidRPr="00D068A6">
        <w:rPr>
          <w:sz w:val="24"/>
          <w:szCs w:val="24"/>
          <w:u w:val="single"/>
          <w:lang w:val="es-PE"/>
        </w:rPr>
        <w:t xml:space="preserve"> de cambio</w:t>
      </w:r>
    </w:p>
    <w:p w14:paraId="071B223D" w14:textId="0A8CAFE5" w:rsidR="00877F9B" w:rsidRPr="00D068A6" w:rsidRDefault="00877F9B" w:rsidP="00877F9B">
      <w:pPr>
        <w:pStyle w:val="Textoindependiente"/>
        <w:spacing w:line="360" w:lineRule="auto"/>
        <w:jc w:val="both"/>
        <w:rPr>
          <w:sz w:val="24"/>
          <w:szCs w:val="24"/>
          <w:lang w:val="es-PE"/>
        </w:rPr>
      </w:pPr>
      <w:r w:rsidRPr="00D068A6">
        <w:rPr>
          <w:sz w:val="24"/>
          <w:szCs w:val="24"/>
          <w:lang w:val="es-PE"/>
        </w:rPr>
        <w:tab/>
      </w:r>
      <w:r w:rsidR="007431E0" w:rsidRPr="00D068A6">
        <w:rPr>
          <w:sz w:val="24"/>
          <w:szCs w:val="24"/>
          <w:lang w:val="es-PE"/>
        </w:rPr>
        <w:t>La volatilidad de los mercados internacionales financieros y comerciales tiende a generar grandes fluctuaciones de</w:t>
      </w:r>
      <w:r w:rsidR="007552AB">
        <w:rPr>
          <w:sz w:val="24"/>
          <w:szCs w:val="24"/>
          <w:lang w:val="es-PE"/>
        </w:rPr>
        <w:t xml:space="preserve">l tipo </w:t>
      </w:r>
      <w:r w:rsidR="007431E0" w:rsidRPr="00D068A6">
        <w:rPr>
          <w:sz w:val="24"/>
          <w:szCs w:val="24"/>
          <w:lang w:val="es-PE"/>
        </w:rPr>
        <w:t xml:space="preserve">de cambio </w:t>
      </w:r>
      <w:r w:rsidR="007A6F44" w:rsidRPr="00D068A6">
        <w:rPr>
          <w:sz w:val="24"/>
          <w:szCs w:val="24"/>
          <w:lang w:val="es-PE"/>
        </w:rPr>
        <w:t>para equilibrar la balanza de pagos</w:t>
      </w:r>
      <w:r w:rsidR="00DD2BA9">
        <w:rPr>
          <w:sz w:val="24"/>
          <w:szCs w:val="24"/>
          <w:lang w:val="es-PE"/>
        </w:rPr>
        <w:t>,</w:t>
      </w:r>
      <w:r w:rsidR="007A6F44" w:rsidRPr="00D068A6">
        <w:rPr>
          <w:sz w:val="24"/>
          <w:szCs w:val="24"/>
          <w:lang w:val="es-PE"/>
        </w:rPr>
        <w:t xml:space="preserve"> como respuesta a los shocks positivos y negativos producidos durante los ciclos de mediano plazo que han estado experimentando los mercados internacionales. El hecho evidente es que, desde 1999, la economía chilena ha experimentado tres ciclos </w:t>
      </w:r>
      <w:r w:rsidR="002160AA">
        <w:rPr>
          <w:sz w:val="24"/>
          <w:szCs w:val="24"/>
          <w:lang w:val="es-PE"/>
        </w:rPr>
        <w:t>cambiarios sustantivos</w:t>
      </w:r>
      <w:r w:rsidR="007A6F44" w:rsidRPr="00D068A6">
        <w:rPr>
          <w:sz w:val="24"/>
          <w:szCs w:val="24"/>
          <w:lang w:val="es-PE"/>
        </w:rPr>
        <w:t xml:space="preserve">, cada uno de los cuales incluyó </w:t>
      </w:r>
      <w:r w:rsidR="00371488">
        <w:rPr>
          <w:sz w:val="24"/>
          <w:szCs w:val="24"/>
          <w:lang w:val="es-PE"/>
        </w:rPr>
        <w:t>períodos</w:t>
      </w:r>
      <w:r w:rsidR="00371488" w:rsidRPr="00D068A6">
        <w:rPr>
          <w:sz w:val="24"/>
          <w:szCs w:val="24"/>
          <w:lang w:val="es-PE"/>
        </w:rPr>
        <w:t xml:space="preserve"> </w:t>
      </w:r>
      <w:r w:rsidR="007A6F44" w:rsidRPr="00D068A6">
        <w:rPr>
          <w:sz w:val="24"/>
          <w:szCs w:val="24"/>
          <w:lang w:val="es-PE"/>
        </w:rPr>
        <w:t xml:space="preserve">de apreciación a mediano plazo, seguidos de </w:t>
      </w:r>
      <w:r w:rsidR="00DD2BA9">
        <w:rPr>
          <w:sz w:val="24"/>
          <w:szCs w:val="24"/>
          <w:lang w:val="es-PE"/>
        </w:rPr>
        <w:t xml:space="preserve">intensas </w:t>
      </w:r>
      <w:r w:rsidR="007A6F44" w:rsidRPr="00D068A6">
        <w:rPr>
          <w:sz w:val="24"/>
          <w:szCs w:val="24"/>
          <w:lang w:val="es-PE"/>
        </w:rPr>
        <w:lastRenderedPageBreak/>
        <w:t>depreciaci</w:t>
      </w:r>
      <w:r w:rsidR="00DD2BA9">
        <w:rPr>
          <w:sz w:val="24"/>
          <w:szCs w:val="24"/>
          <w:lang w:val="es-PE"/>
        </w:rPr>
        <w:t>ones</w:t>
      </w:r>
      <w:r w:rsidR="007A6F44" w:rsidRPr="00D068A6">
        <w:rPr>
          <w:sz w:val="24"/>
          <w:szCs w:val="24"/>
          <w:lang w:val="es-PE"/>
        </w:rPr>
        <w:t xml:space="preserve">. Por consiguiente, se ha producido un </w:t>
      </w:r>
      <w:r w:rsidR="00E025B0">
        <w:rPr>
          <w:sz w:val="24"/>
          <w:szCs w:val="24"/>
          <w:lang w:val="es-PE"/>
        </w:rPr>
        <w:t>sobre-ajuste</w:t>
      </w:r>
      <w:r w:rsidR="007A6F44" w:rsidRPr="00D068A6">
        <w:rPr>
          <w:sz w:val="24"/>
          <w:szCs w:val="24"/>
          <w:lang w:val="es-PE"/>
        </w:rPr>
        <w:t xml:space="preserve"> sistemático</w:t>
      </w:r>
      <w:r w:rsidRPr="00D068A6">
        <w:rPr>
          <w:sz w:val="24"/>
          <w:szCs w:val="24"/>
          <w:lang w:val="es-PE"/>
        </w:rPr>
        <w:t>,</w:t>
      </w:r>
      <w:r w:rsidR="007A6F44" w:rsidRPr="00D068A6">
        <w:rPr>
          <w:sz w:val="24"/>
          <w:szCs w:val="24"/>
          <w:lang w:val="es-PE"/>
        </w:rPr>
        <w:t xml:space="preserve"> desde que se adoptó la política de</w:t>
      </w:r>
      <w:r w:rsidR="00602D1E">
        <w:rPr>
          <w:sz w:val="24"/>
          <w:szCs w:val="24"/>
          <w:lang w:val="es-PE"/>
        </w:rPr>
        <w:t xml:space="preserve"> tipo de </w:t>
      </w:r>
      <w:r w:rsidR="007A6F44" w:rsidRPr="00D068A6">
        <w:rPr>
          <w:sz w:val="24"/>
          <w:szCs w:val="24"/>
          <w:lang w:val="es-PE"/>
        </w:rPr>
        <w:t xml:space="preserve">cambio libre en 1999, como muestra </w:t>
      </w:r>
      <w:r w:rsidR="00ED7230">
        <w:rPr>
          <w:sz w:val="24"/>
          <w:szCs w:val="24"/>
          <w:lang w:val="es-PE"/>
        </w:rPr>
        <w:t>e</w:t>
      </w:r>
      <w:r w:rsidR="007A6F44" w:rsidRPr="00D068A6">
        <w:rPr>
          <w:sz w:val="24"/>
          <w:szCs w:val="24"/>
          <w:lang w:val="es-PE"/>
        </w:rPr>
        <w:t>l</w:t>
      </w:r>
      <w:r w:rsidR="00ED7230">
        <w:rPr>
          <w:sz w:val="24"/>
          <w:szCs w:val="24"/>
          <w:lang w:val="es-PE"/>
        </w:rPr>
        <w:t xml:space="preserve"> gráfico</w:t>
      </w:r>
      <w:r w:rsidRPr="00D068A6">
        <w:rPr>
          <w:sz w:val="24"/>
          <w:szCs w:val="24"/>
          <w:lang w:val="es-PE"/>
        </w:rPr>
        <w:t xml:space="preserve"> 1.</w:t>
      </w:r>
      <w:r w:rsidRPr="00D068A6">
        <w:rPr>
          <w:rStyle w:val="Refdenotaalpie"/>
          <w:sz w:val="24"/>
          <w:szCs w:val="24"/>
          <w:lang w:val="es-PE"/>
        </w:rPr>
        <w:footnoteReference w:id="12"/>
      </w:r>
      <w:r w:rsidRPr="00D068A6">
        <w:rPr>
          <w:sz w:val="24"/>
          <w:szCs w:val="24"/>
          <w:lang w:val="es-PE"/>
        </w:rPr>
        <w:t xml:space="preserve"> </w:t>
      </w:r>
    </w:p>
    <w:p w14:paraId="36FD383B" w14:textId="5E7DFDBF" w:rsidR="00877F9B" w:rsidRPr="00D068A6" w:rsidRDefault="00877F9B" w:rsidP="00877F9B">
      <w:pPr>
        <w:pStyle w:val="Textoindependiente"/>
        <w:spacing w:line="360" w:lineRule="auto"/>
        <w:jc w:val="both"/>
        <w:rPr>
          <w:sz w:val="24"/>
          <w:szCs w:val="24"/>
          <w:lang w:val="es-PE"/>
        </w:rPr>
      </w:pPr>
      <w:r w:rsidRPr="00D068A6">
        <w:rPr>
          <w:sz w:val="24"/>
          <w:szCs w:val="24"/>
          <w:lang w:val="es-PE"/>
        </w:rPr>
        <w:tab/>
        <w:t xml:space="preserve"> </w:t>
      </w:r>
      <w:r w:rsidRPr="00D068A6">
        <w:rPr>
          <w:sz w:val="24"/>
          <w:szCs w:val="24"/>
          <w:lang w:val="es-PE"/>
        </w:rPr>
        <w:tab/>
      </w:r>
      <w:r w:rsidRPr="00D068A6">
        <w:rPr>
          <w:sz w:val="24"/>
          <w:szCs w:val="24"/>
          <w:lang w:val="es-PE"/>
        </w:rPr>
        <w:tab/>
      </w:r>
      <w:r w:rsidRPr="00D068A6">
        <w:rPr>
          <w:sz w:val="24"/>
          <w:szCs w:val="24"/>
          <w:lang w:val="es-PE"/>
        </w:rPr>
        <w:tab/>
      </w:r>
      <w:r w:rsidRPr="00D068A6">
        <w:rPr>
          <w:sz w:val="24"/>
          <w:szCs w:val="24"/>
          <w:lang w:val="es-PE"/>
        </w:rPr>
        <w:tab/>
      </w:r>
      <w:r w:rsidR="00ED7230">
        <w:rPr>
          <w:sz w:val="24"/>
          <w:szCs w:val="24"/>
          <w:lang w:val="es-PE"/>
        </w:rPr>
        <w:t>Gráfico</w:t>
      </w:r>
      <w:r w:rsidRPr="00D068A6">
        <w:rPr>
          <w:sz w:val="24"/>
          <w:szCs w:val="24"/>
          <w:lang w:val="es-PE"/>
        </w:rPr>
        <w:t xml:space="preserve"> 1</w:t>
      </w:r>
    </w:p>
    <w:p w14:paraId="2B630082" w14:textId="722D5820" w:rsidR="00877F9B" w:rsidRDefault="00877F9B" w:rsidP="00877F9B">
      <w:pPr>
        <w:pStyle w:val="Textoindependiente"/>
        <w:spacing w:line="360" w:lineRule="auto"/>
        <w:jc w:val="both"/>
        <w:rPr>
          <w:sz w:val="24"/>
          <w:szCs w:val="24"/>
          <w:lang w:val="es-PE"/>
        </w:rPr>
      </w:pPr>
      <w:r w:rsidRPr="00D068A6">
        <w:rPr>
          <w:sz w:val="24"/>
          <w:szCs w:val="24"/>
          <w:lang w:val="es-PE"/>
        </w:rPr>
        <w:tab/>
      </w:r>
      <w:r w:rsidR="007A6F44" w:rsidRPr="00D068A6">
        <w:rPr>
          <w:sz w:val="24"/>
          <w:szCs w:val="24"/>
          <w:lang w:val="es-PE"/>
        </w:rPr>
        <w:t xml:space="preserve">Las fluctuaciones cíclicas </w:t>
      </w:r>
      <w:r w:rsidR="002160AA">
        <w:rPr>
          <w:sz w:val="24"/>
          <w:szCs w:val="24"/>
          <w:lang w:val="es-PE"/>
        </w:rPr>
        <w:t xml:space="preserve">del TCR </w:t>
      </w:r>
      <w:r w:rsidR="007A6F44" w:rsidRPr="00D068A6">
        <w:rPr>
          <w:sz w:val="24"/>
          <w:szCs w:val="24"/>
          <w:lang w:val="es-PE"/>
        </w:rPr>
        <w:t>se relacionaron</w:t>
      </w:r>
      <w:r w:rsidR="00DD2BA9">
        <w:rPr>
          <w:sz w:val="24"/>
          <w:szCs w:val="24"/>
          <w:lang w:val="es-PE"/>
        </w:rPr>
        <w:t>,</w:t>
      </w:r>
      <w:r w:rsidR="007A6F44" w:rsidRPr="00D068A6">
        <w:rPr>
          <w:sz w:val="24"/>
          <w:szCs w:val="24"/>
          <w:lang w:val="es-PE"/>
        </w:rPr>
        <w:t xml:space="preserve"> en primer lugar</w:t>
      </w:r>
      <w:r w:rsidR="00DD2BA9">
        <w:rPr>
          <w:sz w:val="24"/>
          <w:szCs w:val="24"/>
          <w:lang w:val="es-PE"/>
        </w:rPr>
        <w:t>,</w:t>
      </w:r>
      <w:r w:rsidR="007A6F44" w:rsidRPr="00D068A6">
        <w:rPr>
          <w:sz w:val="24"/>
          <w:szCs w:val="24"/>
          <w:lang w:val="es-PE"/>
        </w:rPr>
        <w:t xml:space="preserve"> con la cr</w:t>
      </w:r>
      <w:r w:rsidR="00046939" w:rsidRPr="00D068A6">
        <w:rPr>
          <w:sz w:val="24"/>
          <w:szCs w:val="24"/>
          <w:lang w:val="es-PE"/>
        </w:rPr>
        <w:t>i</w:t>
      </w:r>
      <w:r w:rsidR="007A6F44" w:rsidRPr="00D068A6">
        <w:rPr>
          <w:sz w:val="24"/>
          <w:szCs w:val="24"/>
          <w:lang w:val="es-PE"/>
        </w:rPr>
        <w:t xml:space="preserve">sis asiática que tuvo como consecuencia </w:t>
      </w:r>
      <w:r w:rsidR="00DD2BA9">
        <w:rPr>
          <w:sz w:val="24"/>
          <w:szCs w:val="24"/>
          <w:lang w:val="es-PE"/>
        </w:rPr>
        <w:t xml:space="preserve">egresos </w:t>
      </w:r>
      <w:r w:rsidR="007A6F44" w:rsidRPr="00D068A6">
        <w:rPr>
          <w:sz w:val="24"/>
          <w:szCs w:val="24"/>
          <w:lang w:val="es-PE"/>
        </w:rPr>
        <w:t>generalizados de fondos financieros, que produjeron un profundo proceso de depreciación. Luego, en 2003 se inició el largo auge internacional de los precios de los productos básicos (“commodities”)</w:t>
      </w:r>
      <w:r w:rsidRPr="00D068A6">
        <w:rPr>
          <w:sz w:val="24"/>
          <w:szCs w:val="24"/>
          <w:lang w:val="es-PE"/>
        </w:rPr>
        <w:t xml:space="preserve"> </w:t>
      </w:r>
      <w:r w:rsidR="00371488">
        <w:rPr>
          <w:sz w:val="24"/>
          <w:szCs w:val="24"/>
          <w:lang w:val="es-PE"/>
        </w:rPr>
        <w:t xml:space="preserve">dando </w:t>
      </w:r>
      <w:r w:rsidR="007A6F44" w:rsidRPr="00D068A6">
        <w:rPr>
          <w:sz w:val="24"/>
          <w:szCs w:val="24"/>
          <w:lang w:val="es-PE"/>
        </w:rPr>
        <w:t xml:space="preserve">lugar a un fuerte proceso de apreciación que se prolongó hasta principios de 2008. Paralelamente, </w:t>
      </w:r>
      <w:r w:rsidR="002160AA">
        <w:rPr>
          <w:sz w:val="24"/>
          <w:szCs w:val="24"/>
          <w:lang w:val="es-PE"/>
        </w:rPr>
        <w:t>habían</w:t>
      </w:r>
      <w:r w:rsidR="007A6F44" w:rsidRPr="00D068A6">
        <w:rPr>
          <w:sz w:val="24"/>
          <w:szCs w:val="24"/>
          <w:lang w:val="es-PE"/>
        </w:rPr>
        <w:t xml:space="preserve"> </w:t>
      </w:r>
      <w:r w:rsidR="002160AA">
        <w:rPr>
          <w:sz w:val="24"/>
          <w:szCs w:val="24"/>
          <w:lang w:val="es-PE"/>
        </w:rPr>
        <w:t xml:space="preserve"> </w:t>
      </w:r>
      <w:r w:rsidR="007A6F44" w:rsidRPr="00D068A6">
        <w:rPr>
          <w:sz w:val="24"/>
          <w:szCs w:val="24"/>
          <w:lang w:val="es-PE"/>
        </w:rPr>
        <w:t>regresa</w:t>
      </w:r>
      <w:r w:rsidR="002160AA">
        <w:rPr>
          <w:sz w:val="24"/>
          <w:szCs w:val="24"/>
          <w:lang w:val="es-PE"/>
        </w:rPr>
        <w:t>do</w:t>
      </w:r>
      <w:r w:rsidR="007A6F44" w:rsidRPr="00D068A6">
        <w:rPr>
          <w:sz w:val="24"/>
          <w:szCs w:val="24"/>
          <w:lang w:val="es-PE"/>
        </w:rPr>
        <w:t xml:space="preserve"> gradualmente los flujos de capitales reforzando el exceso de oferta de divisas y las correspondientes presiones de apreciación. </w:t>
      </w:r>
      <w:r w:rsidR="002160AA">
        <w:rPr>
          <w:sz w:val="24"/>
          <w:szCs w:val="24"/>
          <w:lang w:val="es-PE"/>
        </w:rPr>
        <w:t>A ello siguió</w:t>
      </w:r>
      <w:r w:rsidR="007A6F44" w:rsidRPr="00D068A6">
        <w:rPr>
          <w:sz w:val="24"/>
          <w:szCs w:val="24"/>
          <w:lang w:val="es-PE"/>
        </w:rPr>
        <w:t xml:space="preserve"> una significativa y abrupta depr</w:t>
      </w:r>
      <w:r w:rsidR="00046939" w:rsidRPr="00D068A6">
        <w:rPr>
          <w:sz w:val="24"/>
          <w:szCs w:val="24"/>
          <w:lang w:val="es-PE"/>
        </w:rPr>
        <w:t xml:space="preserve">eciación debido a la caída </w:t>
      </w:r>
      <w:r w:rsidR="00602D1E">
        <w:rPr>
          <w:sz w:val="24"/>
          <w:szCs w:val="24"/>
          <w:lang w:val="es-PE"/>
        </w:rPr>
        <w:t xml:space="preserve">transitoria </w:t>
      </w:r>
      <w:r w:rsidR="007A6F44" w:rsidRPr="00D068A6">
        <w:rPr>
          <w:sz w:val="24"/>
          <w:szCs w:val="24"/>
          <w:lang w:val="es-PE"/>
        </w:rPr>
        <w:t xml:space="preserve">del precio del cobre durante </w:t>
      </w:r>
      <w:r w:rsidR="00B54410">
        <w:rPr>
          <w:sz w:val="24"/>
          <w:szCs w:val="24"/>
          <w:lang w:val="es-PE"/>
        </w:rPr>
        <w:t xml:space="preserve">el </w:t>
      </w:r>
      <w:r w:rsidR="00B54410" w:rsidRPr="00B54410">
        <w:rPr>
          <w:i/>
          <w:sz w:val="24"/>
          <w:szCs w:val="24"/>
          <w:lang w:val="es-PE"/>
        </w:rPr>
        <w:t>peak</w:t>
      </w:r>
      <w:r w:rsidR="007A6F44" w:rsidRPr="00B54410">
        <w:rPr>
          <w:i/>
          <w:sz w:val="24"/>
          <w:szCs w:val="24"/>
          <w:lang w:val="es-PE"/>
        </w:rPr>
        <w:t xml:space="preserve"> </w:t>
      </w:r>
      <w:r w:rsidR="007A6F44" w:rsidRPr="00D068A6">
        <w:rPr>
          <w:sz w:val="24"/>
          <w:szCs w:val="24"/>
          <w:lang w:val="es-PE"/>
        </w:rPr>
        <w:t>de la crisis global (de</w:t>
      </w:r>
      <w:r w:rsidR="00B54410">
        <w:rPr>
          <w:sz w:val="24"/>
          <w:szCs w:val="24"/>
          <w:lang w:val="es-PE"/>
        </w:rPr>
        <w:t>sde</w:t>
      </w:r>
      <w:r w:rsidR="007A6F44" w:rsidRPr="00D068A6">
        <w:rPr>
          <w:sz w:val="24"/>
          <w:szCs w:val="24"/>
          <w:lang w:val="es-PE"/>
        </w:rPr>
        <w:t xml:space="preserve"> más de </w:t>
      </w:r>
      <w:r w:rsidRPr="00D068A6">
        <w:rPr>
          <w:sz w:val="24"/>
          <w:szCs w:val="24"/>
          <w:lang w:val="es-PE"/>
        </w:rPr>
        <w:t xml:space="preserve">US$4 </w:t>
      </w:r>
      <w:r w:rsidR="007A6F44" w:rsidRPr="00D068A6">
        <w:rPr>
          <w:sz w:val="24"/>
          <w:szCs w:val="24"/>
          <w:lang w:val="es-PE"/>
        </w:rPr>
        <w:t>a</w:t>
      </w:r>
      <w:r w:rsidR="00CA75BE" w:rsidRPr="00D068A6">
        <w:rPr>
          <w:sz w:val="24"/>
          <w:szCs w:val="24"/>
          <w:lang w:val="es-PE"/>
        </w:rPr>
        <w:t xml:space="preserve"> US$1,</w:t>
      </w:r>
      <w:r w:rsidRPr="00D068A6">
        <w:rPr>
          <w:sz w:val="24"/>
          <w:szCs w:val="24"/>
          <w:lang w:val="es-PE"/>
        </w:rPr>
        <w:t>35</w:t>
      </w:r>
      <w:r w:rsidR="007A6F44" w:rsidRPr="00D068A6">
        <w:rPr>
          <w:sz w:val="24"/>
          <w:szCs w:val="24"/>
          <w:lang w:val="es-PE"/>
        </w:rPr>
        <w:t xml:space="preserve"> por libr</w:t>
      </w:r>
      <w:r w:rsidR="00B54410">
        <w:rPr>
          <w:sz w:val="24"/>
          <w:szCs w:val="24"/>
          <w:lang w:val="es-PE"/>
        </w:rPr>
        <w:t>a</w:t>
      </w:r>
      <w:r w:rsidRPr="00D068A6">
        <w:rPr>
          <w:sz w:val="24"/>
          <w:szCs w:val="24"/>
          <w:lang w:val="es-PE"/>
        </w:rPr>
        <w:t>),</w:t>
      </w:r>
      <w:r w:rsidR="007A6F44" w:rsidRPr="00D068A6">
        <w:rPr>
          <w:sz w:val="24"/>
          <w:szCs w:val="24"/>
          <w:lang w:val="es-PE"/>
        </w:rPr>
        <w:t xml:space="preserve"> que fue reforzada </w:t>
      </w:r>
      <w:r w:rsidR="00B54410">
        <w:rPr>
          <w:sz w:val="24"/>
          <w:szCs w:val="24"/>
          <w:lang w:val="es-PE"/>
        </w:rPr>
        <w:t>con</w:t>
      </w:r>
      <w:r w:rsidR="007A6F44" w:rsidRPr="00D068A6">
        <w:rPr>
          <w:sz w:val="24"/>
          <w:szCs w:val="24"/>
          <w:lang w:val="es-PE"/>
        </w:rPr>
        <w:t xml:space="preserve"> salidas de capitales. Prontamente, se reinició un proceso de apreciación y hacia diciembre de 2009, </w:t>
      </w:r>
      <w:r w:rsidR="00602D1E">
        <w:rPr>
          <w:sz w:val="24"/>
          <w:szCs w:val="24"/>
          <w:lang w:val="es-PE"/>
        </w:rPr>
        <w:t>el tipo</w:t>
      </w:r>
      <w:r w:rsidR="007A6F44" w:rsidRPr="00D068A6">
        <w:rPr>
          <w:sz w:val="24"/>
          <w:szCs w:val="24"/>
          <w:lang w:val="es-PE"/>
        </w:rPr>
        <w:t xml:space="preserve"> de cambio real se había apreciado en </w:t>
      </w:r>
      <w:r w:rsidR="001F76D2" w:rsidRPr="00D068A6">
        <w:rPr>
          <w:sz w:val="24"/>
          <w:szCs w:val="24"/>
          <w:lang w:val="es-PE"/>
        </w:rPr>
        <w:t xml:space="preserve">16% respecto </w:t>
      </w:r>
      <w:r w:rsidR="002160AA">
        <w:rPr>
          <w:sz w:val="24"/>
          <w:szCs w:val="24"/>
          <w:lang w:val="es-PE"/>
        </w:rPr>
        <w:t>a</w:t>
      </w:r>
      <w:r w:rsidR="001F76D2" w:rsidRPr="00D068A6">
        <w:rPr>
          <w:sz w:val="24"/>
          <w:szCs w:val="24"/>
          <w:lang w:val="es-PE"/>
        </w:rPr>
        <w:t xml:space="preserve"> fines de 2008 y siguió apreciándose con alzas y bajas, hasta mediados de 2013</w:t>
      </w:r>
      <w:r w:rsidR="00B54410">
        <w:rPr>
          <w:sz w:val="24"/>
          <w:szCs w:val="24"/>
          <w:lang w:val="es-PE"/>
        </w:rPr>
        <w:t xml:space="preserve"> (ver </w:t>
      </w:r>
      <w:r w:rsidR="00ED7230">
        <w:rPr>
          <w:sz w:val="24"/>
          <w:szCs w:val="24"/>
          <w:lang w:val="es-PE"/>
        </w:rPr>
        <w:t>gráfico</w:t>
      </w:r>
      <w:r w:rsidR="00B54410">
        <w:rPr>
          <w:sz w:val="24"/>
          <w:szCs w:val="24"/>
          <w:lang w:val="es-PE"/>
        </w:rPr>
        <w:t xml:space="preserve"> 1)</w:t>
      </w:r>
      <w:r w:rsidR="001F76D2" w:rsidRPr="00D068A6">
        <w:rPr>
          <w:sz w:val="24"/>
          <w:szCs w:val="24"/>
          <w:lang w:val="es-PE"/>
        </w:rPr>
        <w:t>, mientras que</w:t>
      </w:r>
      <w:r w:rsidR="00E7202A">
        <w:rPr>
          <w:sz w:val="24"/>
          <w:szCs w:val="24"/>
          <w:lang w:val="es-PE"/>
        </w:rPr>
        <w:t xml:space="preserve"> diversas estimaciones de</w:t>
      </w:r>
      <w:r w:rsidR="001F76D2" w:rsidRPr="00D068A6">
        <w:rPr>
          <w:sz w:val="24"/>
          <w:szCs w:val="24"/>
          <w:lang w:val="es-PE"/>
        </w:rPr>
        <w:t xml:space="preserve"> </w:t>
      </w:r>
      <w:r w:rsidR="00044E9C" w:rsidRPr="00D068A6">
        <w:rPr>
          <w:sz w:val="24"/>
          <w:szCs w:val="24"/>
          <w:lang w:val="es-PE"/>
        </w:rPr>
        <w:t xml:space="preserve">la </w:t>
      </w:r>
      <w:r w:rsidR="001F76D2" w:rsidRPr="00D068A6">
        <w:rPr>
          <w:sz w:val="24"/>
          <w:szCs w:val="24"/>
          <w:lang w:val="es-PE"/>
        </w:rPr>
        <w:t>PTF</w:t>
      </w:r>
      <w:r w:rsidRPr="00D068A6">
        <w:rPr>
          <w:sz w:val="24"/>
          <w:szCs w:val="24"/>
          <w:lang w:val="es-PE"/>
        </w:rPr>
        <w:t xml:space="preserve"> </w:t>
      </w:r>
      <w:r w:rsidR="00E7202A">
        <w:rPr>
          <w:sz w:val="24"/>
          <w:szCs w:val="24"/>
          <w:lang w:val="es-PE"/>
        </w:rPr>
        <w:t xml:space="preserve">mostraban que </w:t>
      </w:r>
      <w:r w:rsidR="001F76D2" w:rsidRPr="00D068A6">
        <w:rPr>
          <w:sz w:val="24"/>
          <w:szCs w:val="24"/>
          <w:lang w:val="es-PE"/>
        </w:rPr>
        <w:t>había disminuido notablemente</w:t>
      </w:r>
      <w:r w:rsidRPr="00D068A6">
        <w:rPr>
          <w:sz w:val="24"/>
          <w:szCs w:val="24"/>
          <w:lang w:val="es-PE"/>
        </w:rPr>
        <w:t>.</w:t>
      </w:r>
      <w:r w:rsidRPr="00D068A6">
        <w:rPr>
          <w:rStyle w:val="Refdenotaalpie"/>
          <w:sz w:val="24"/>
          <w:szCs w:val="24"/>
          <w:lang w:val="es-PE"/>
        </w:rPr>
        <w:footnoteReference w:id="13"/>
      </w:r>
      <w:r w:rsidRPr="00D068A6">
        <w:rPr>
          <w:sz w:val="24"/>
          <w:szCs w:val="24"/>
          <w:lang w:val="es-PE"/>
        </w:rPr>
        <w:t xml:space="preserve"> </w:t>
      </w:r>
    </w:p>
    <w:p w14:paraId="1017433C" w14:textId="5A15A7D5" w:rsidR="00877F9B" w:rsidRPr="00D068A6" w:rsidRDefault="00444EE3" w:rsidP="00877F9B">
      <w:pPr>
        <w:pStyle w:val="Textoindependiente"/>
        <w:spacing w:line="360" w:lineRule="auto"/>
        <w:jc w:val="both"/>
        <w:rPr>
          <w:sz w:val="24"/>
          <w:szCs w:val="24"/>
          <w:lang w:val="es-PE"/>
        </w:rPr>
      </w:pPr>
      <w:r>
        <w:rPr>
          <w:sz w:val="24"/>
          <w:szCs w:val="24"/>
          <w:lang w:val="es-PE"/>
        </w:rPr>
        <w:tab/>
      </w:r>
      <w:r w:rsidR="00044E9C" w:rsidRPr="00D068A6">
        <w:rPr>
          <w:sz w:val="24"/>
          <w:szCs w:val="24"/>
          <w:lang w:val="es-PE"/>
        </w:rPr>
        <w:t>Esta nueva etapa de apreciación persistente fortaleció</w:t>
      </w:r>
      <w:r w:rsidR="00CA75BE" w:rsidRPr="00D068A6">
        <w:rPr>
          <w:sz w:val="24"/>
          <w:szCs w:val="24"/>
          <w:lang w:val="es-PE"/>
        </w:rPr>
        <w:t xml:space="preserve"> -erróneamente</w:t>
      </w:r>
      <w:r w:rsidR="00044E9C" w:rsidRPr="00D068A6">
        <w:rPr>
          <w:sz w:val="24"/>
          <w:szCs w:val="24"/>
          <w:lang w:val="es-PE"/>
        </w:rPr>
        <w:t xml:space="preserve">- las expectativas </w:t>
      </w:r>
      <w:r w:rsidR="00E7202A">
        <w:rPr>
          <w:sz w:val="24"/>
          <w:szCs w:val="24"/>
          <w:lang w:val="es-PE"/>
        </w:rPr>
        <w:t xml:space="preserve">genera la creencia que </w:t>
      </w:r>
      <w:r w:rsidR="00044E9C" w:rsidRPr="00D068A6">
        <w:rPr>
          <w:sz w:val="24"/>
          <w:szCs w:val="24"/>
          <w:lang w:val="es-PE"/>
        </w:rPr>
        <w:t>de contar con un dólar barato sostenible</w:t>
      </w:r>
      <w:r w:rsidR="00A4166C">
        <w:rPr>
          <w:sz w:val="24"/>
          <w:szCs w:val="24"/>
          <w:lang w:val="es-PE"/>
        </w:rPr>
        <w:t xml:space="preserve">, </w:t>
      </w:r>
      <w:r w:rsidR="00044E9C" w:rsidRPr="00D068A6">
        <w:rPr>
          <w:sz w:val="24"/>
          <w:szCs w:val="24"/>
          <w:lang w:val="es-PE"/>
        </w:rPr>
        <w:t>desalen</w:t>
      </w:r>
      <w:r w:rsidR="00A4166C">
        <w:rPr>
          <w:sz w:val="24"/>
          <w:szCs w:val="24"/>
          <w:lang w:val="es-PE"/>
        </w:rPr>
        <w:t>tando</w:t>
      </w:r>
      <w:r w:rsidR="00044E9C" w:rsidRPr="00D068A6">
        <w:rPr>
          <w:sz w:val="24"/>
          <w:szCs w:val="24"/>
          <w:lang w:val="es-PE"/>
        </w:rPr>
        <w:t xml:space="preserve"> aún más las exportaciones no tradicionales, </w:t>
      </w:r>
      <w:r w:rsidR="00044E9C" w:rsidRPr="00A4166C">
        <w:rPr>
          <w:sz w:val="24"/>
          <w:szCs w:val="24"/>
          <w:lang w:val="es-PE"/>
        </w:rPr>
        <w:t xml:space="preserve">el valor </w:t>
      </w:r>
      <w:r w:rsidR="00CF6225" w:rsidRPr="00A4166C">
        <w:rPr>
          <w:sz w:val="24"/>
          <w:szCs w:val="24"/>
          <w:lang w:val="es-PE"/>
        </w:rPr>
        <w:t>agregado</w:t>
      </w:r>
      <w:r w:rsidR="00044E9C" w:rsidRPr="00A4166C">
        <w:rPr>
          <w:sz w:val="24"/>
          <w:szCs w:val="24"/>
          <w:lang w:val="es-PE"/>
        </w:rPr>
        <w:t xml:space="preserve"> de las exportaciones</w:t>
      </w:r>
      <w:r w:rsidR="00044E9C" w:rsidRPr="00D068A6">
        <w:rPr>
          <w:sz w:val="24"/>
          <w:szCs w:val="24"/>
          <w:lang w:val="es-PE"/>
        </w:rPr>
        <w:t xml:space="preserve"> y la competitividad de las </w:t>
      </w:r>
      <w:r w:rsidR="00E025B0" w:rsidRPr="00D068A6">
        <w:rPr>
          <w:sz w:val="24"/>
          <w:szCs w:val="24"/>
          <w:lang w:val="es-PE"/>
        </w:rPr>
        <w:t>PYMEs</w:t>
      </w:r>
      <w:r w:rsidR="00044E9C" w:rsidRPr="00D068A6">
        <w:rPr>
          <w:sz w:val="24"/>
          <w:szCs w:val="24"/>
          <w:lang w:val="es-PE"/>
        </w:rPr>
        <w:t xml:space="preserve"> que enfrentaban importaciones artificialmente baratas. Todo ello resultó </w:t>
      </w:r>
      <w:r w:rsidR="00044E9C" w:rsidRPr="00D068A6">
        <w:rPr>
          <w:sz w:val="24"/>
          <w:szCs w:val="24"/>
          <w:lang w:val="es-PE"/>
        </w:rPr>
        <w:lastRenderedPageBreak/>
        <w:t xml:space="preserve">particularmente perjudicial para una estrategia de crecimiento </w:t>
      </w:r>
      <w:r w:rsidR="00CF6225">
        <w:rPr>
          <w:sz w:val="24"/>
          <w:szCs w:val="24"/>
          <w:lang w:val="es-PE"/>
        </w:rPr>
        <w:t>liderada por la producción de</w:t>
      </w:r>
      <w:r w:rsidR="00044E9C" w:rsidRPr="00D068A6">
        <w:rPr>
          <w:sz w:val="24"/>
          <w:szCs w:val="24"/>
          <w:lang w:val="es-PE"/>
        </w:rPr>
        <w:t xml:space="preserve"> bienes transables</w:t>
      </w:r>
      <w:r w:rsidR="00877F9B" w:rsidRPr="00D068A6">
        <w:rPr>
          <w:sz w:val="24"/>
          <w:szCs w:val="24"/>
          <w:lang w:val="es-PE"/>
        </w:rPr>
        <w:t xml:space="preserve">. </w:t>
      </w:r>
    </w:p>
    <w:p w14:paraId="5B955CAD" w14:textId="1DEB6490" w:rsidR="005E7239" w:rsidRDefault="00CF6225" w:rsidP="00A4166C">
      <w:pPr>
        <w:tabs>
          <w:tab w:val="left" w:pos="8080"/>
        </w:tabs>
        <w:spacing w:line="360" w:lineRule="auto"/>
        <w:ind w:firstLine="708"/>
        <w:jc w:val="both"/>
        <w:rPr>
          <w:sz w:val="24"/>
          <w:szCs w:val="24"/>
          <w:lang w:val="es-PE"/>
        </w:rPr>
      </w:pPr>
      <w:r>
        <w:rPr>
          <w:sz w:val="24"/>
          <w:szCs w:val="24"/>
          <w:lang w:val="es-PE"/>
        </w:rPr>
        <w:t>N</w:t>
      </w:r>
      <w:r w:rsidR="00AD3998">
        <w:rPr>
          <w:sz w:val="24"/>
          <w:szCs w:val="24"/>
          <w:lang w:val="es-PE"/>
        </w:rPr>
        <w:t>o</w:t>
      </w:r>
      <w:r>
        <w:rPr>
          <w:sz w:val="24"/>
          <w:szCs w:val="24"/>
          <w:lang w:val="es-PE"/>
        </w:rPr>
        <w:t xml:space="preserve"> obstante el</w:t>
      </w:r>
      <w:r w:rsidR="00963889" w:rsidRPr="00D068A6">
        <w:rPr>
          <w:sz w:val="24"/>
          <w:szCs w:val="24"/>
          <w:lang w:val="es-PE"/>
        </w:rPr>
        <w:t xml:space="preserve"> efecto est</w:t>
      </w:r>
      <w:r w:rsidR="00AD3998">
        <w:rPr>
          <w:sz w:val="24"/>
          <w:szCs w:val="24"/>
          <w:lang w:val="es-PE"/>
        </w:rPr>
        <w:t>abilizador</w:t>
      </w:r>
      <w:r w:rsidR="00963889" w:rsidRPr="00D068A6">
        <w:rPr>
          <w:sz w:val="24"/>
          <w:szCs w:val="24"/>
          <w:lang w:val="es-PE"/>
        </w:rPr>
        <w:t xml:space="preserve"> de los fondos soberanos, la serie de saltos en el precio nominal del cobre (que subió de 60 centavos en </w:t>
      </w:r>
      <w:r w:rsidR="00E7202A">
        <w:rPr>
          <w:sz w:val="24"/>
          <w:szCs w:val="24"/>
          <w:lang w:val="es-PE"/>
        </w:rPr>
        <w:t xml:space="preserve">el curso de </w:t>
      </w:r>
      <w:r w:rsidR="00963889" w:rsidRPr="00D068A6">
        <w:rPr>
          <w:sz w:val="24"/>
          <w:szCs w:val="24"/>
          <w:lang w:val="es-PE"/>
        </w:rPr>
        <w:t xml:space="preserve">2002 a 400 centavos en </w:t>
      </w:r>
      <w:r w:rsidR="00927654">
        <w:rPr>
          <w:sz w:val="24"/>
          <w:szCs w:val="24"/>
          <w:lang w:val="es-PE"/>
        </w:rPr>
        <w:t xml:space="preserve">el curso del </w:t>
      </w:r>
      <w:r w:rsidR="00963889" w:rsidRPr="00D068A6">
        <w:rPr>
          <w:sz w:val="24"/>
          <w:szCs w:val="24"/>
          <w:lang w:val="es-PE"/>
        </w:rPr>
        <w:t>2008 y a 440 a principios de</w:t>
      </w:r>
      <w:r>
        <w:rPr>
          <w:sz w:val="24"/>
          <w:szCs w:val="24"/>
          <w:lang w:val="es-PE"/>
        </w:rPr>
        <w:t>l</w:t>
      </w:r>
      <w:r w:rsidR="00963889" w:rsidRPr="00D068A6">
        <w:rPr>
          <w:sz w:val="24"/>
          <w:szCs w:val="24"/>
          <w:lang w:val="es-PE"/>
        </w:rPr>
        <w:t xml:space="preserve"> 2011)</w:t>
      </w:r>
      <w:r w:rsidRPr="00D068A6">
        <w:rPr>
          <w:rStyle w:val="Refdenotaalpie"/>
          <w:sz w:val="24"/>
          <w:szCs w:val="24"/>
          <w:lang w:val="es-PE"/>
        </w:rPr>
        <w:footnoteReference w:id="14"/>
      </w:r>
      <w:r w:rsidR="00963889" w:rsidRPr="00D068A6">
        <w:rPr>
          <w:sz w:val="24"/>
          <w:szCs w:val="24"/>
          <w:lang w:val="es-PE"/>
        </w:rPr>
        <w:t xml:space="preserve"> generó una persistente burbuja cambi</w:t>
      </w:r>
      <w:r>
        <w:rPr>
          <w:sz w:val="24"/>
          <w:szCs w:val="24"/>
          <w:lang w:val="es-PE"/>
        </w:rPr>
        <w:t>aria</w:t>
      </w:r>
      <w:r w:rsidR="00963889" w:rsidRPr="00D068A6">
        <w:rPr>
          <w:sz w:val="24"/>
          <w:szCs w:val="24"/>
          <w:lang w:val="es-PE"/>
        </w:rPr>
        <w:t xml:space="preserve"> que </w:t>
      </w:r>
      <w:r>
        <w:rPr>
          <w:sz w:val="24"/>
          <w:szCs w:val="24"/>
          <w:lang w:val="es-PE"/>
        </w:rPr>
        <w:t>provocó</w:t>
      </w:r>
      <w:r w:rsidR="00963889" w:rsidRPr="00D068A6">
        <w:rPr>
          <w:sz w:val="24"/>
          <w:szCs w:val="24"/>
          <w:lang w:val="es-PE"/>
        </w:rPr>
        <w:t xml:space="preserve"> un peso </w:t>
      </w:r>
      <w:r w:rsidR="00963889" w:rsidRPr="00D068A6">
        <w:rPr>
          <w:i/>
          <w:sz w:val="24"/>
          <w:szCs w:val="24"/>
          <w:lang w:val="es-PE"/>
        </w:rPr>
        <w:t>fuerte</w:t>
      </w:r>
      <w:r w:rsidR="00877F9B" w:rsidRPr="00D068A6">
        <w:rPr>
          <w:sz w:val="24"/>
          <w:szCs w:val="24"/>
          <w:lang w:val="es-PE"/>
        </w:rPr>
        <w:t xml:space="preserve"> </w:t>
      </w:r>
      <w:r w:rsidR="00444EE3">
        <w:rPr>
          <w:sz w:val="24"/>
          <w:szCs w:val="24"/>
          <w:lang w:val="es-PE"/>
        </w:rPr>
        <w:t>espurio,</w:t>
      </w:r>
      <w:r w:rsidR="00126FD1" w:rsidRPr="00D068A6">
        <w:rPr>
          <w:sz w:val="24"/>
          <w:szCs w:val="24"/>
          <w:lang w:val="es-PE"/>
        </w:rPr>
        <w:t xml:space="preserve"> fuera de </w:t>
      </w:r>
      <w:r>
        <w:rPr>
          <w:sz w:val="24"/>
          <w:szCs w:val="24"/>
          <w:lang w:val="es-PE"/>
        </w:rPr>
        <w:t>equilibrio</w:t>
      </w:r>
      <w:r w:rsidR="00E0758D">
        <w:rPr>
          <w:sz w:val="24"/>
          <w:szCs w:val="24"/>
          <w:lang w:val="es-PE"/>
        </w:rPr>
        <w:t xml:space="preserve">; </w:t>
      </w:r>
      <w:r w:rsidR="00A4166C">
        <w:rPr>
          <w:sz w:val="24"/>
          <w:szCs w:val="24"/>
          <w:lang w:val="es-PE"/>
        </w:rPr>
        <w:t xml:space="preserve">una </w:t>
      </w:r>
      <w:r w:rsidR="00E0758D">
        <w:rPr>
          <w:sz w:val="24"/>
          <w:szCs w:val="24"/>
          <w:lang w:val="es-PE"/>
        </w:rPr>
        <w:t>prueba</w:t>
      </w:r>
      <w:r w:rsidR="00A4166C">
        <w:rPr>
          <w:sz w:val="24"/>
          <w:szCs w:val="24"/>
          <w:lang w:val="es-PE"/>
        </w:rPr>
        <w:t xml:space="preserve"> de esto es</w:t>
      </w:r>
      <w:r w:rsidR="00E0758D">
        <w:rPr>
          <w:sz w:val="24"/>
          <w:szCs w:val="24"/>
          <w:lang w:val="es-PE"/>
        </w:rPr>
        <w:t xml:space="preserve"> el notorio desequilibrio entre la evolución del volumen de las importaciones y </w:t>
      </w:r>
      <w:r w:rsidR="00602D1E">
        <w:rPr>
          <w:sz w:val="24"/>
          <w:szCs w:val="24"/>
          <w:lang w:val="es-PE"/>
        </w:rPr>
        <w:t>e</w:t>
      </w:r>
      <w:r w:rsidR="00E0758D">
        <w:rPr>
          <w:sz w:val="24"/>
          <w:szCs w:val="24"/>
          <w:lang w:val="es-PE"/>
        </w:rPr>
        <w:t>l de</w:t>
      </w:r>
      <w:r w:rsidR="00444EE3">
        <w:rPr>
          <w:sz w:val="24"/>
          <w:szCs w:val="24"/>
          <w:lang w:val="es-PE"/>
        </w:rPr>
        <w:t xml:space="preserve"> </w:t>
      </w:r>
      <w:r w:rsidR="00E0758D">
        <w:rPr>
          <w:sz w:val="24"/>
          <w:szCs w:val="24"/>
          <w:lang w:val="es-PE"/>
        </w:rPr>
        <w:t>las exportaciones (ver cuadro 5</w:t>
      </w:r>
      <w:r w:rsidR="001E5F0C">
        <w:rPr>
          <w:sz w:val="24"/>
          <w:szCs w:val="24"/>
          <w:lang w:val="es-PE"/>
        </w:rPr>
        <w:t>)</w:t>
      </w:r>
      <w:r w:rsidR="00877F9B" w:rsidRPr="00D068A6">
        <w:rPr>
          <w:sz w:val="24"/>
          <w:szCs w:val="24"/>
          <w:lang w:val="es-PE"/>
        </w:rPr>
        <w:t xml:space="preserve">. </w:t>
      </w:r>
      <w:r w:rsidR="00126FD1" w:rsidRPr="00D068A6">
        <w:rPr>
          <w:sz w:val="24"/>
          <w:szCs w:val="24"/>
          <w:lang w:val="es-PE"/>
        </w:rPr>
        <w:t xml:space="preserve">Tres razones contribuyen a explicar la inestabilidad </w:t>
      </w:r>
      <w:r w:rsidR="00602D1E">
        <w:rPr>
          <w:sz w:val="24"/>
          <w:szCs w:val="24"/>
          <w:lang w:val="es-PE"/>
        </w:rPr>
        <w:t>del</w:t>
      </w:r>
      <w:r w:rsidR="00126FD1" w:rsidRPr="00D068A6">
        <w:rPr>
          <w:sz w:val="24"/>
          <w:szCs w:val="24"/>
          <w:lang w:val="es-PE"/>
        </w:rPr>
        <w:t xml:space="preserve"> </w:t>
      </w:r>
      <w:r w:rsidR="00AD3998">
        <w:rPr>
          <w:sz w:val="24"/>
          <w:szCs w:val="24"/>
          <w:lang w:val="es-PE"/>
        </w:rPr>
        <w:t>TCR</w:t>
      </w:r>
      <w:r w:rsidR="00126FD1" w:rsidRPr="00D068A6">
        <w:rPr>
          <w:sz w:val="24"/>
          <w:szCs w:val="24"/>
          <w:lang w:val="es-PE"/>
        </w:rPr>
        <w:t xml:space="preserve"> en conexión con el precio del cobre a pesar del mecanismo de estabilización que estaba en funcionamiento </w:t>
      </w:r>
      <w:r>
        <w:rPr>
          <w:sz w:val="24"/>
          <w:szCs w:val="24"/>
          <w:lang w:val="es-PE"/>
        </w:rPr>
        <w:t xml:space="preserve">con </w:t>
      </w:r>
      <w:r w:rsidR="00126FD1" w:rsidRPr="00D068A6">
        <w:rPr>
          <w:sz w:val="24"/>
          <w:szCs w:val="24"/>
          <w:lang w:val="es-PE"/>
        </w:rPr>
        <w:t xml:space="preserve">el </w:t>
      </w:r>
      <w:r>
        <w:rPr>
          <w:sz w:val="24"/>
          <w:szCs w:val="24"/>
          <w:lang w:val="es-PE"/>
        </w:rPr>
        <w:t>B</w:t>
      </w:r>
      <w:r w:rsidR="00126FD1" w:rsidRPr="00D068A6">
        <w:rPr>
          <w:sz w:val="24"/>
          <w:szCs w:val="24"/>
          <w:lang w:val="es-PE"/>
        </w:rPr>
        <w:t>FE</w:t>
      </w:r>
      <w:r w:rsidR="00877F9B" w:rsidRPr="00D068A6">
        <w:rPr>
          <w:sz w:val="24"/>
          <w:szCs w:val="24"/>
          <w:lang w:val="es-PE"/>
        </w:rPr>
        <w:t xml:space="preserve">. </w:t>
      </w:r>
    </w:p>
    <w:p w14:paraId="792C723E" w14:textId="7438133A" w:rsidR="00877F9B" w:rsidRPr="00D068A6" w:rsidRDefault="00126FD1" w:rsidP="00877F9B">
      <w:pPr>
        <w:spacing w:line="360" w:lineRule="auto"/>
        <w:ind w:firstLine="708"/>
        <w:jc w:val="both"/>
        <w:rPr>
          <w:sz w:val="24"/>
          <w:szCs w:val="24"/>
          <w:lang w:val="es-PE"/>
        </w:rPr>
      </w:pPr>
      <w:r w:rsidRPr="00D068A6">
        <w:rPr>
          <w:sz w:val="24"/>
          <w:szCs w:val="24"/>
          <w:lang w:val="es-PE"/>
        </w:rPr>
        <w:t>En primer lugar, cuando se inició el auge de precios de 2003, el Comité del Precio</w:t>
      </w:r>
      <w:r w:rsidR="00CF6225">
        <w:rPr>
          <w:sz w:val="24"/>
          <w:szCs w:val="24"/>
          <w:lang w:val="es-PE"/>
        </w:rPr>
        <w:t xml:space="preserve"> Tendencial</w:t>
      </w:r>
      <w:r w:rsidRPr="00D068A6">
        <w:rPr>
          <w:sz w:val="24"/>
          <w:szCs w:val="24"/>
          <w:lang w:val="es-PE"/>
        </w:rPr>
        <w:t xml:space="preserve"> de</w:t>
      </w:r>
      <w:r w:rsidR="00CF6225">
        <w:rPr>
          <w:sz w:val="24"/>
          <w:szCs w:val="24"/>
          <w:lang w:val="es-PE"/>
        </w:rPr>
        <w:t>l</w:t>
      </w:r>
      <w:r w:rsidRPr="00D068A6">
        <w:rPr>
          <w:sz w:val="24"/>
          <w:szCs w:val="24"/>
          <w:lang w:val="es-PE"/>
        </w:rPr>
        <w:t xml:space="preserve"> Cobre proporcionó cifras, año tras año, que </w:t>
      </w:r>
      <w:r w:rsidR="00CF6225">
        <w:rPr>
          <w:sz w:val="24"/>
          <w:szCs w:val="24"/>
          <w:lang w:val="es-PE"/>
        </w:rPr>
        <w:t>seguían</w:t>
      </w:r>
      <w:r w:rsidRPr="00D068A6">
        <w:rPr>
          <w:sz w:val="24"/>
          <w:szCs w:val="24"/>
          <w:lang w:val="es-PE"/>
        </w:rPr>
        <w:t xml:space="preserve"> el aumento del precio nominal real, pero </w:t>
      </w:r>
      <w:r w:rsidR="006373F2" w:rsidRPr="00D068A6">
        <w:rPr>
          <w:sz w:val="24"/>
          <w:szCs w:val="24"/>
          <w:lang w:val="es-PE"/>
        </w:rPr>
        <w:t>muy de</w:t>
      </w:r>
      <w:r w:rsidR="00CF6225">
        <w:rPr>
          <w:sz w:val="24"/>
          <w:szCs w:val="24"/>
          <w:lang w:val="es-PE"/>
        </w:rPr>
        <w:t>sde abajo</w:t>
      </w:r>
      <w:r w:rsidR="006373F2" w:rsidRPr="00D068A6">
        <w:rPr>
          <w:sz w:val="24"/>
          <w:szCs w:val="24"/>
          <w:lang w:val="es-PE"/>
        </w:rPr>
        <w:t xml:space="preserve">. </w:t>
      </w:r>
      <w:r w:rsidR="00927654">
        <w:rPr>
          <w:sz w:val="24"/>
          <w:szCs w:val="24"/>
          <w:lang w:val="es-PE"/>
        </w:rPr>
        <w:t>En</w:t>
      </w:r>
      <w:r w:rsidR="006373F2" w:rsidRPr="00D068A6">
        <w:rPr>
          <w:sz w:val="24"/>
          <w:szCs w:val="24"/>
          <w:lang w:val="es-PE"/>
        </w:rPr>
        <w:t xml:space="preserve"> </w:t>
      </w:r>
      <w:r w:rsidR="00877F9B" w:rsidRPr="00D068A6">
        <w:rPr>
          <w:sz w:val="24"/>
          <w:szCs w:val="24"/>
          <w:lang w:val="es-PE"/>
        </w:rPr>
        <w:t>2006</w:t>
      </w:r>
      <w:r w:rsidR="006373F2" w:rsidRPr="00D068A6">
        <w:rPr>
          <w:sz w:val="24"/>
          <w:szCs w:val="24"/>
          <w:lang w:val="es-PE"/>
        </w:rPr>
        <w:t>,</w:t>
      </w:r>
      <w:r w:rsidR="00877F9B" w:rsidRPr="00D068A6">
        <w:rPr>
          <w:sz w:val="24"/>
          <w:szCs w:val="24"/>
          <w:lang w:val="es-PE"/>
        </w:rPr>
        <w:t xml:space="preserve"> </w:t>
      </w:r>
      <w:r w:rsidR="006373F2" w:rsidRPr="00D068A6">
        <w:rPr>
          <w:sz w:val="24"/>
          <w:szCs w:val="24"/>
          <w:lang w:val="es-PE"/>
        </w:rPr>
        <w:t xml:space="preserve">el precio </w:t>
      </w:r>
      <w:r w:rsidR="00CF6225">
        <w:rPr>
          <w:sz w:val="24"/>
          <w:szCs w:val="24"/>
          <w:lang w:val="es-PE"/>
        </w:rPr>
        <w:t>efectivo</w:t>
      </w:r>
      <w:r w:rsidR="006373F2" w:rsidRPr="00D068A6">
        <w:rPr>
          <w:sz w:val="24"/>
          <w:szCs w:val="24"/>
          <w:lang w:val="es-PE"/>
        </w:rPr>
        <w:t xml:space="preserve"> era</w:t>
      </w:r>
      <w:r w:rsidR="00877F9B" w:rsidRPr="00D068A6">
        <w:rPr>
          <w:sz w:val="24"/>
          <w:szCs w:val="24"/>
          <w:lang w:val="es-PE"/>
        </w:rPr>
        <w:t xml:space="preserve"> US$3</w:t>
      </w:r>
      <w:r w:rsidR="006373F2" w:rsidRPr="00D068A6">
        <w:rPr>
          <w:sz w:val="24"/>
          <w:szCs w:val="24"/>
          <w:lang w:val="es-PE"/>
        </w:rPr>
        <w:t>,</w:t>
      </w:r>
      <w:r w:rsidR="00877F9B" w:rsidRPr="00D068A6">
        <w:rPr>
          <w:sz w:val="24"/>
          <w:szCs w:val="24"/>
          <w:lang w:val="es-PE"/>
        </w:rPr>
        <w:t xml:space="preserve">05 </w:t>
      </w:r>
      <w:r w:rsidR="006373F2" w:rsidRPr="00D068A6">
        <w:rPr>
          <w:sz w:val="24"/>
          <w:szCs w:val="24"/>
          <w:lang w:val="es-PE"/>
        </w:rPr>
        <w:t>por libra y el estimado de tendencia era</w:t>
      </w:r>
      <w:r w:rsidR="00877F9B" w:rsidRPr="00D068A6">
        <w:rPr>
          <w:sz w:val="24"/>
          <w:szCs w:val="24"/>
          <w:lang w:val="es-PE"/>
        </w:rPr>
        <w:t xml:space="preserve"> US$0</w:t>
      </w:r>
      <w:r w:rsidR="006373F2" w:rsidRPr="00D068A6">
        <w:rPr>
          <w:sz w:val="24"/>
          <w:szCs w:val="24"/>
          <w:lang w:val="es-PE"/>
        </w:rPr>
        <w:t>,</w:t>
      </w:r>
      <w:r w:rsidR="00877F9B" w:rsidRPr="00D068A6">
        <w:rPr>
          <w:sz w:val="24"/>
          <w:szCs w:val="24"/>
          <w:lang w:val="es-PE"/>
        </w:rPr>
        <w:t xml:space="preserve">99. </w:t>
      </w:r>
      <w:r w:rsidR="006373F2" w:rsidRPr="00D068A6">
        <w:rPr>
          <w:sz w:val="24"/>
          <w:szCs w:val="24"/>
          <w:lang w:val="es-PE"/>
        </w:rPr>
        <w:t xml:space="preserve">Posteriormente, ya que el precio real se mantuvo elevado, el estimado de la tendencia siguió aumentando, llegando a un elevado nivel de </w:t>
      </w:r>
      <w:r w:rsidR="00877F9B" w:rsidRPr="00D068A6">
        <w:rPr>
          <w:sz w:val="24"/>
          <w:szCs w:val="24"/>
          <w:lang w:val="es-PE"/>
        </w:rPr>
        <w:t>US$2</w:t>
      </w:r>
      <w:r w:rsidR="006373F2" w:rsidRPr="00D068A6">
        <w:rPr>
          <w:sz w:val="24"/>
          <w:szCs w:val="24"/>
          <w:lang w:val="es-PE"/>
        </w:rPr>
        <w:t>,</w:t>
      </w:r>
      <w:r w:rsidR="00877F9B" w:rsidRPr="00D068A6">
        <w:rPr>
          <w:sz w:val="24"/>
          <w:szCs w:val="24"/>
          <w:lang w:val="es-PE"/>
        </w:rPr>
        <w:t xml:space="preserve">59 </w:t>
      </w:r>
      <w:r w:rsidR="006373F2" w:rsidRPr="00D068A6">
        <w:rPr>
          <w:sz w:val="24"/>
          <w:szCs w:val="24"/>
          <w:lang w:val="es-PE"/>
        </w:rPr>
        <w:t>e</w:t>
      </w:r>
      <w:r w:rsidR="00877F9B" w:rsidRPr="00D068A6">
        <w:rPr>
          <w:sz w:val="24"/>
          <w:szCs w:val="24"/>
          <w:lang w:val="es-PE"/>
        </w:rPr>
        <w:t xml:space="preserve">n 2011 </w:t>
      </w:r>
      <w:r w:rsidR="006373F2" w:rsidRPr="00D068A6">
        <w:rPr>
          <w:sz w:val="24"/>
          <w:szCs w:val="24"/>
          <w:lang w:val="es-PE"/>
        </w:rPr>
        <w:t>y</w:t>
      </w:r>
      <w:r w:rsidR="00927654">
        <w:rPr>
          <w:sz w:val="24"/>
          <w:szCs w:val="24"/>
          <w:lang w:val="es-PE"/>
        </w:rPr>
        <w:t xml:space="preserve"> sobre</w:t>
      </w:r>
      <w:r w:rsidR="00877F9B" w:rsidRPr="00D068A6">
        <w:rPr>
          <w:sz w:val="24"/>
          <w:szCs w:val="24"/>
          <w:lang w:val="es-PE"/>
        </w:rPr>
        <w:t xml:space="preserve"> US$3</w:t>
      </w:r>
      <w:r w:rsidR="006373F2" w:rsidRPr="00D068A6">
        <w:rPr>
          <w:sz w:val="24"/>
          <w:szCs w:val="24"/>
          <w:lang w:val="es-PE"/>
        </w:rPr>
        <w:t>,</w:t>
      </w:r>
      <w:r w:rsidR="00877F9B" w:rsidRPr="00D068A6">
        <w:rPr>
          <w:sz w:val="24"/>
          <w:szCs w:val="24"/>
          <w:lang w:val="es-PE"/>
        </w:rPr>
        <w:t xml:space="preserve">00 </w:t>
      </w:r>
      <w:r w:rsidR="007506E1">
        <w:rPr>
          <w:sz w:val="24"/>
          <w:szCs w:val="24"/>
          <w:lang w:val="es-PE"/>
        </w:rPr>
        <w:t>en los años siguientes</w:t>
      </w:r>
      <w:r w:rsidR="00912DB8" w:rsidRPr="00D068A6">
        <w:rPr>
          <w:sz w:val="24"/>
          <w:szCs w:val="24"/>
          <w:lang w:val="es-PE"/>
        </w:rPr>
        <w:t xml:space="preserve"> (</w:t>
      </w:r>
      <w:r w:rsidR="007506E1">
        <w:rPr>
          <w:sz w:val="24"/>
          <w:szCs w:val="24"/>
          <w:lang w:val="es-PE"/>
        </w:rPr>
        <w:t>v</w:t>
      </w:r>
      <w:r w:rsidR="00912DB8" w:rsidRPr="00D068A6">
        <w:rPr>
          <w:sz w:val="24"/>
          <w:szCs w:val="24"/>
          <w:lang w:val="es-PE"/>
        </w:rPr>
        <w:t xml:space="preserve">er </w:t>
      </w:r>
      <w:r w:rsidR="00B1203A" w:rsidRPr="00D068A6">
        <w:rPr>
          <w:sz w:val="24"/>
          <w:szCs w:val="24"/>
          <w:lang w:val="es-PE"/>
        </w:rPr>
        <w:t xml:space="preserve">cuadro </w:t>
      </w:r>
      <w:r w:rsidR="00777B9C" w:rsidRPr="00D068A6">
        <w:rPr>
          <w:sz w:val="24"/>
          <w:szCs w:val="24"/>
          <w:lang w:val="es-PE"/>
        </w:rPr>
        <w:t>3</w:t>
      </w:r>
      <w:r w:rsidR="00B1203A" w:rsidRPr="00D068A6">
        <w:rPr>
          <w:sz w:val="24"/>
          <w:szCs w:val="24"/>
          <w:lang w:val="es-PE"/>
        </w:rPr>
        <w:t>, filas 3 y 4)</w:t>
      </w:r>
      <w:r w:rsidR="00877F9B" w:rsidRPr="00D068A6">
        <w:rPr>
          <w:sz w:val="24"/>
          <w:szCs w:val="24"/>
          <w:lang w:val="es-PE"/>
        </w:rPr>
        <w:t xml:space="preserve">. </w:t>
      </w:r>
      <w:r w:rsidR="006373F2" w:rsidRPr="00D068A6">
        <w:rPr>
          <w:sz w:val="24"/>
          <w:szCs w:val="24"/>
          <w:lang w:val="es-PE"/>
        </w:rPr>
        <w:t xml:space="preserve">Evidentemente, las utilidades estaban muy por encima de los costos de producción </w:t>
      </w:r>
      <w:r w:rsidR="008B2ECB">
        <w:rPr>
          <w:sz w:val="24"/>
          <w:szCs w:val="24"/>
          <w:lang w:val="es-PE"/>
        </w:rPr>
        <w:t>generando</w:t>
      </w:r>
      <w:r w:rsidR="006373F2" w:rsidRPr="00D068A6">
        <w:rPr>
          <w:sz w:val="24"/>
          <w:szCs w:val="24"/>
          <w:lang w:val="es-PE"/>
        </w:rPr>
        <w:t xml:space="preserve"> una muy elevada tasa de retorno de las inversiones. En cons</w:t>
      </w:r>
      <w:r w:rsidR="00927654">
        <w:rPr>
          <w:sz w:val="24"/>
          <w:szCs w:val="24"/>
          <w:lang w:val="es-PE"/>
        </w:rPr>
        <w:t>e</w:t>
      </w:r>
      <w:r w:rsidR="006373F2" w:rsidRPr="00D068A6">
        <w:rPr>
          <w:sz w:val="24"/>
          <w:szCs w:val="24"/>
          <w:lang w:val="es-PE"/>
        </w:rPr>
        <w:t>cuencia, desde 2011, tanto el sector público como el sector privado de Chile tendieron a actuar por el lado excesivamente optimista de las expectativas</w:t>
      </w:r>
      <w:r w:rsidR="00927654">
        <w:rPr>
          <w:sz w:val="24"/>
          <w:szCs w:val="24"/>
          <w:lang w:val="es-PE"/>
        </w:rPr>
        <w:t xml:space="preserve"> sobre el precio del cobre</w:t>
      </w:r>
      <w:r w:rsidR="00877F9B" w:rsidRPr="00D068A6">
        <w:rPr>
          <w:sz w:val="24"/>
          <w:szCs w:val="24"/>
          <w:lang w:val="es-PE"/>
        </w:rPr>
        <w:t>.</w:t>
      </w:r>
      <w:r w:rsidR="008B2ECB" w:rsidRPr="008B2ECB">
        <w:rPr>
          <w:sz w:val="24"/>
          <w:szCs w:val="24"/>
          <w:lang w:val="es-PE"/>
        </w:rPr>
        <w:t xml:space="preserve"> </w:t>
      </w:r>
      <w:r w:rsidR="008B2ECB" w:rsidRPr="00D068A6">
        <w:rPr>
          <w:sz w:val="24"/>
          <w:szCs w:val="24"/>
          <w:lang w:val="es-PE"/>
        </w:rPr>
        <w:t>Mientras tanto, los productores de cobre realizaban elevadas inversiones en Chile y otros países, creando un futuro aumento de la oferta.</w:t>
      </w:r>
    </w:p>
    <w:p w14:paraId="3FB25EE8" w14:textId="2B05ABCE" w:rsidR="00877F9B" w:rsidRPr="00D068A6" w:rsidRDefault="006373F2" w:rsidP="00877F9B">
      <w:pPr>
        <w:spacing w:line="360" w:lineRule="auto"/>
        <w:ind w:firstLine="708"/>
        <w:jc w:val="both"/>
        <w:rPr>
          <w:sz w:val="24"/>
          <w:szCs w:val="24"/>
          <w:lang w:val="es-PE"/>
        </w:rPr>
      </w:pPr>
      <w:r w:rsidRPr="00D068A6">
        <w:rPr>
          <w:sz w:val="24"/>
          <w:szCs w:val="24"/>
          <w:lang w:val="es-PE"/>
        </w:rPr>
        <w:t>En segundo lugar, el mecanismo de</w:t>
      </w:r>
      <w:r w:rsidR="00AD3998">
        <w:rPr>
          <w:sz w:val="24"/>
          <w:szCs w:val="24"/>
          <w:lang w:val="es-PE"/>
        </w:rPr>
        <w:t>l BFE</w:t>
      </w:r>
      <w:r w:rsidRPr="00D068A6">
        <w:rPr>
          <w:sz w:val="24"/>
          <w:szCs w:val="24"/>
          <w:lang w:val="es-PE"/>
        </w:rPr>
        <w:t xml:space="preserve"> sólo se refiere a los ingresos fiscales, que </w:t>
      </w:r>
      <w:r w:rsidR="00AD3998">
        <w:rPr>
          <w:sz w:val="24"/>
          <w:szCs w:val="24"/>
          <w:lang w:val="es-PE"/>
        </w:rPr>
        <w:t>provienen de</w:t>
      </w:r>
      <w:r w:rsidRPr="00D068A6">
        <w:rPr>
          <w:sz w:val="24"/>
          <w:szCs w:val="24"/>
          <w:lang w:val="es-PE"/>
        </w:rPr>
        <w:t xml:space="preserve"> los impuestos que pagan las empresas mineras tanto públicas como privadas pero </w:t>
      </w:r>
      <w:r w:rsidR="00AD3998">
        <w:rPr>
          <w:sz w:val="24"/>
          <w:szCs w:val="24"/>
          <w:lang w:val="es-PE"/>
        </w:rPr>
        <w:t xml:space="preserve">en cuanto a las utilidades </w:t>
      </w:r>
      <w:r w:rsidRPr="00D068A6">
        <w:rPr>
          <w:sz w:val="24"/>
          <w:szCs w:val="24"/>
          <w:lang w:val="es-PE"/>
        </w:rPr>
        <w:t>cubre solamente las de</w:t>
      </w:r>
      <w:r w:rsidR="00877F9B" w:rsidRPr="00D068A6">
        <w:rPr>
          <w:sz w:val="24"/>
          <w:szCs w:val="24"/>
          <w:lang w:val="es-PE"/>
        </w:rPr>
        <w:t xml:space="preserve"> CODELCO; </w:t>
      </w:r>
      <w:r w:rsidRPr="00D068A6">
        <w:rPr>
          <w:sz w:val="24"/>
          <w:szCs w:val="24"/>
          <w:lang w:val="es-PE"/>
        </w:rPr>
        <w:t>es decir, un tercio de la producción de cobre. Puede sostenerse que el resto es producido principalmente por extranjero</w:t>
      </w:r>
      <w:r w:rsidR="00AD3998">
        <w:rPr>
          <w:sz w:val="24"/>
          <w:szCs w:val="24"/>
          <w:lang w:val="es-PE"/>
        </w:rPr>
        <w:t>s</w:t>
      </w:r>
      <w:r w:rsidRPr="00D068A6">
        <w:rPr>
          <w:sz w:val="24"/>
          <w:szCs w:val="24"/>
          <w:lang w:val="es-PE"/>
        </w:rPr>
        <w:t>, de manera que la mayor parte d</w:t>
      </w:r>
      <w:r w:rsidR="00AD3998">
        <w:rPr>
          <w:sz w:val="24"/>
          <w:szCs w:val="24"/>
          <w:lang w:val="es-PE"/>
        </w:rPr>
        <w:t>e la inestabilidad de precios t</w:t>
      </w:r>
      <w:r w:rsidRPr="00D068A6">
        <w:rPr>
          <w:sz w:val="24"/>
          <w:szCs w:val="24"/>
          <w:lang w:val="es-PE"/>
        </w:rPr>
        <w:t>en</w:t>
      </w:r>
      <w:r w:rsidR="00AD3998">
        <w:rPr>
          <w:sz w:val="24"/>
          <w:szCs w:val="24"/>
          <w:lang w:val="es-PE"/>
        </w:rPr>
        <w:t>dría</w:t>
      </w:r>
      <w:r w:rsidRPr="00D068A6">
        <w:rPr>
          <w:sz w:val="24"/>
          <w:szCs w:val="24"/>
          <w:lang w:val="es-PE"/>
        </w:rPr>
        <w:t xml:space="preserve"> impacto en el exterior. Sin embargo, es un hecho que una proporción significativa </w:t>
      </w:r>
      <w:r w:rsidR="00AD3998">
        <w:rPr>
          <w:sz w:val="24"/>
          <w:szCs w:val="24"/>
          <w:lang w:val="es-PE"/>
        </w:rPr>
        <w:t xml:space="preserve">de las utilidades de </w:t>
      </w:r>
      <w:r w:rsidR="00AD3998">
        <w:rPr>
          <w:sz w:val="24"/>
          <w:szCs w:val="24"/>
          <w:lang w:val="es-PE"/>
        </w:rPr>
        <w:lastRenderedPageBreak/>
        <w:t xml:space="preserve">las empresas extranjeras </w:t>
      </w:r>
      <w:r w:rsidRPr="00D068A6">
        <w:rPr>
          <w:sz w:val="24"/>
          <w:szCs w:val="24"/>
          <w:lang w:val="es-PE"/>
        </w:rPr>
        <w:t xml:space="preserve">regresó al mercado </w:t>
      </w:r>
      <w:r w:rsidR="00AD3998">
        <w:rPr>
          <w:sz w:val="24"/>
          <w:szCs w:val="24"/>
          <w:lang w:val="es-PE"/>
        </w:rPr>
        <w:t>interno</w:t>
      </w:r>
      <w:r w:rsidRPr="00D068A6">
        <w:rPr>
          <w:sz w:val="24"/>
          <w:szCs w:val="24"/>
          <w:lang w:val="es-PE"/>
        </w:rPr>
        <w:t xml:space="preserve"> </w:t>
      </w:r>
      <w:r w:rsidR="00AD3998">
        <w:rPr>
          <w:sz w:val="24"/>
          <w:szCs w:val="24"/>
          <w:lang w:val="es-PE"/>
        </w:rPr>
        <w:t>como</w:t>
      </w:r>
      <w:r w:rsidRPr="00D068A6">
        <w:rPr>
          <w:sz w:val="24"/>
          <w:szCs w:val="24"/>
          <w:lang w:val="es-PE"/>
        </w:rPr>
        <w:t xml:space="preserve"> reinversión de utilidades, lo que dio otra equívoca señal macroeconómica</w:t>
      </w:r>
      <w:r w:rsidR="00877F9B" w:rsidRPr="00D068A6">
        <w:rPr>
          <w:sz w:val="24"/>
          <w:szCs w:val="24"/>
          <w:lang w:val="es-PE"/>
        </w:rPr>
        <w:t xml:space="preserve"> (</w:t>
      </w:r>
      <w:r w:rsidR="007506E1">
        <w:rPr>
          <w:sz w:val="24"/>
          <w:szCs w:val="24"/>
          <w:lang w:val="es-PE"/>
        </w:rPr>
        <w:t>v</w:t>
      </w:r>
      <w:r w:rsidRPr="00D068A6">
        <w:rPr>
          <w:sz w:val="24"/>
          <w:szCs w:val="24"/>
          <w:lang w:val="es-PE"/>
        </w:rPr>
        <w:t>er Sección</w:t>
      </w:r>
      <w:r w:rsidR="00877F9B" w:rsidRPr="00D068A6">
        <w:rPr>
          <w:sz w:val="24"/>
          <w:szCs w:val="24"/>
          <w:lang w:val="es-PE"/>
        </w:rPr>
        <w:t xml:space="preserve"> 2.a).</w:t>
      </w:r>
      <w:r w:rsidR="00877F9B" w:rsidRPr="00D068A6">
        <w:rPr>
          <w:rStyle w:val="Refdenotaalpie"/>
          <w:sz w:val="24"/>
          <w:szCs w:val="24"/>
          <w:lang w:val="es-PE"/>
        </w:rPr>
        <w:footnoteReference w:id="15"/>
      </w:r>
    </w:p>
    <w:p w14:paraId="38EFBDC1" w14:textId="2067D350" w:rsidR="00877F9B" w:rsidRPr="00D068A6" w:rsidRDefault="006373F2" w:rsidP="00877F9B">
      <w:pPr>
        <w:spacing w:line="360" w:lineRule="auto"/>
        <w:ind w:firstLine="708"/>
        <w:jc w:val="both"/>
        <w:rPr>
          <w:sz w:val="24"/>
          <w:szCs w:val="24"/>
          <w:lang w:val="es-PE"/>
        </w:rPr>
      </w:pPr>
      <w:r w:rsidRPr="00D068A6">
        <w:rPr>
          <w:sz w:val="24"/>
          <w:szCs w:val="24"/>
          <w:lang w:val="es-PE"/>
        </w:rPr>
        <w:t>En tercer lugar, el mercado cambi</w:t>
      </w:r>
      <w:r w:rsidR="002142D7">
        <w:rPr>
          <w:sz w:val="24"/>
          <w:szCs w:val="24"/>
          <w:lang w:val="es-PE"/>
        </w:rPr>
        <w:t>ari</w:t>
      </w:r>
      <w:r w:rsidRPr="00D068A6">
        <w:rPr>
          <w:sz w:val="24"/>
          <w:szCs w:val="24"/>
          <w:lang w:val="es-PE"/>
        </w:rPr>
        <w:t xml:space="preserve">o </w:t>
      </w:r>
      <w:r w:rsidR="002142D7">
        <w:rPr>
          <w:sz w:val="24"/>
          <w:szCs w:val="24"/>
          <w:lang w:val="es-PE"/>
        </w:rPr>
        <w:t xml:space="preserve">ha sido </w:t>
      </w:r>
      <w:r w:rsidRPr="00D068A6">
        <w:rPr>
          <w:sz w:val="24"/>
          <w:szCs w:val="24"/>
          <w:lang w:val="es-PE"/>
        </w:rPr>
        <w:t xml:space="preserve">notablemente cíclico. </w:t>
      </w:r>
      <w:r w:rsidR="00A4166C">
        <w:rPr>
          <w:sz w:val="24"/>
          <w:szCs w:val="24"/>
          <w:lang w:val="es-PE"/>
        </w:rPr>
        <w:t>Un</w:t>
      </w:r>
      <w:r w:rsidR="00A4166C" w:rsidRPr="00D068A6">
        <w:rPr>
          <w:sz w:val="24"/>
          <w:szCs w:val="24"/>
          <w:lang w:val="es-PE"/>
        </w:rPr>
        <w:t xml:space="preserve"> </w:t>
      </w:r>
      <w:r w:rsidRPr="00D068A6">
        <w:rPr>
          <w:sz w:val="24"/>
          <w:szCs w:val="24"/>
          <w:lang w:val="es-PE"/>
        </w:rPr>
        <w:t xml:space="preserve">mercado con un </w:t>
      </w:r>
      <w:r w:rsidR="00602D1E">
        <w:rPr>
          <w:sz w:val="24"/>
          <w:szCs w:val="24"/>
          <w:lang w:val="es-PE"/>
        </w:rPr>
        <w:t>tipo de cambio completamente libre</w:t>
      </w:r>
      <w:r w:rsidR="00032536">
        <w:rPr>
          <w:sz w:val="24"/>
          <w:szCs w:val="24"/>
          <w:lang w:val="es-PE"/>
        </w:rPr>
        <w:t xml:space="preserve"> de intervención oficial</w:t>
      </w:r>
      <w:r w:rsidRPr="00D068A6">
        <w:rPr>
          <w:sz w:val="24"/>
          <w:szCs w:val="24"/>
          <w:lang w:val="es-PE"/>
        </w:rPr>
        <w:t xml:space="preserve"> tiende a equilibrar la balanza de pagos</w:t>
      </w:r>
      <w:r w:rsidR="002142D7">
        <w:rPr>
          <w:sz w:val="24"/>
          <w:szCs w:val="24"/>
          <w:lang w:val="es-PE"/>
        </w:rPr>
        <w:t xml:space="preserve"> respondiendo a las señales cotidianas</w:t>
      </w:r>
      <w:r w:rsidRPr="00D068A6">
        <w:rPr>
          <w:sz w:val="24"/>
          <w:szCs w:val="24"/>
          <w:lang w:val="es-PE"/>
        </w:rPr>
        <w:t xml:space="preserve">, </w:t>
      </w:r>
      <w:r w:rsidR="002142D7">
        <w:rPr>
          <w:sz w:val="24"/>
          <w:szCs w:val="24"/>
          <w:lang w:val="es-PE"/>
        </w:rPr>
        <w:t xml:space="preserve">sin considerar la evolución de la </w:t>
      </w:r>
      <w:r w:rsidRPr="00D068A6">
        <w:rPr>
          <w:sz w:val="24"/>
          <w:szCs w:val="24"/>
          <w:lang w:val="es-PE"/>
        </w:rPr>
        <w:t xml:space="preserve">cuenta corriente, hasta que su </w:t>
      </w:r>
      <w:r w:rsidR="002142D7">
        <w:rPr>
          <w:sz w:val="24"/>
          <w:szCs w:val="24"/>
          <w:lang w:val="es-PE"/>
        </w:rPr>
        <w:t>desequilibrio es  extremadamente evidente</w:t>
      </w:r>
      <w:r w:rsidRPr="00D068A6">
        <w:rPr>
          <w:sz w:val="24"/>
          <w:szCs w:val="24"/>
          <w:lang w:val="es-PE"/>
        </w:rPr>
        <w:t xml:space="preserve">. El </w:t>
      </w:r>
      <w:r w:rsidR="002142D7">
        <w:rPr>
          <w:sz w:val="24"/>
          <w:szCs w:val="24"/>
          <w:lang w:val="es-PE"/>
        </w:rPr>
        <w:t xml:space="preserve">hecho es </w:t>
      </w:r>
      <w:r w:rsidR="00A4166C">
        <w:rPr>
          <w:sz w:val="24"/>
          <w:szCs w:val="24"/>
          <w:lang w:val="es-PE"/>
        </w:rPr>
        <w:t xml:space="preserve">que </w:t>
      </w:r>
      <w:r w:rsidR="002142D7">
        <w:rPr>
          <w:sz w:val="24"/>
          <w:szCs w:val="24"/>
          <w:lang w:val="es-PE"/>
        </w:rPr>
        <w:t xml:space="preserve">el </w:t>
      </w:r>
      <w:r w:rsidRPr="00D068A6">
        <w:rPr>
          <w:sz w:val="24"/>
          <w:szCs w:val="24"/>
          <w:lang w:val="es-PE"/>
        </w:rPr>
        <w:t xml:space="preserve">comportamiento procíclico del precio del cobre se transfirió directamente </w:t>
      </w:r>
      <w:r w:rsidR="00602D1E">
        <w:rPr>
          <w:sz w:val="24"/>
          <w:szCs w:val="24"/>
          <w:lang w:val="es-PE"/>
        </w:rPr>
        <w:t>al tipo</w:t>
      </w:r>
      <w:r w:rsidRPr="00D068A6">
        <w:rPr>
          <w:sz w:val="24"/>
          <w:szCs w:val="24"/>
          <w:lang w:val="es-PE"/>
        </w:rPr>
        <w:t xml:space="preserve"> de cambio </w:t>
      </w:r>
      <w:r w:rsidR="00877F9B" w:rsidRPr="00D068A6">
        <w:rPr>
          <w:sz w:val="24"/>
          <w:szCs w:val="24"/>
          <w:lang w:val="es-PE"/>
        </w:rPr>
        <w:t>(</w:t>
      </w:r>
      <w:r w:rsidR="007506E1">
        <w:rPr>
          <w:sz w:val="24"/>
          <w:szCs w:val="24"/>
          <w:lang w:val="es-PE"/>
        </w:rPr>
        <w:t>v</w:t>
      </w:r>
      <w:r w:rsidR="00ED7230">
        <w:rPr>
          <w:sz w:val="24"/>
          <w:szCs w:val="24"/>
          <w:lang w:val="es-PE"/>
        </w:rPr>
        <w:t>er gráfico</w:t>
      </w:r>
      <w:r w:rsidR="00877F9B" w:rsidRPr="00D068A6">
        <w:rPr>
          <w:sz w:val="24"/>
          <w:szCs w:val="24"/>
          <w:lang w:val="es-PE"/>
        </w:rPr>
        <w:t xml:space="preserve"> 3, </w:t>
      </w:r>
      <w:r w:rsidR="008427A9">
        <w:rPr>
          <w:sz w:val="24"/>
          <w:szCs w:val="24"/>
          <w:lang w:val="es-PE"/>
        </w:rPr>
        <w:t>más adelante</w:t>
      </w:r>
      <w:r w:rsidR="00877F9B" w:rsidRPr="00D068A6">
        <w:rPr>
          <w:sz w:val="24"/>
          <w:szCs w:val="24"/>
          <w:lang w:val="es-PE"/>
        </w:rPr>
        <w:t>).</w:t>
      </w:r>
      <w:r w:rsidRPr="00D068A6">
        <w:rPr>
          <w:sz w:val="24"/>
          <w:szCs w:val="24"/>
          <w:lang w:val="es-PE"/>
        </w:rPr>
        <w:t xml:space="preserve"> La inestabilidad </w:t>
      </w:r>
      <w:r w:rsidR="00602D1E">
        <w:rPr>
          <w:sz w:val="24"/>
          <w:szCs w:val="24"/>
          <w:lang w:val="es-PE"/>
        </w:rPr>
        <w:t>del</w:t>
      </w:r>
      <w:r w:rsidRPr="00D068A6">
        <w:rPr>
          <w:sz w:val="24"/>
          <w:szCs w:val="24"/>
          <w:lang w:val="es-PE"/>
        </w:rPr>
        <w:t xml:space="preserve"> TCR</w:t>
      </w:r>
      <w:r w:rsidR="00032536">
        <w:rPr>
          <w:sz w:val="24"/>
          <w:szCs w:val="24"/>
          <w:lang w:val="es-PE"/>
        </w:rPr>
        <w:t>, cautivo de la volatilidad financiera,</w:t>
      </w:r>
      <w:r w:rsidRPr="00D068A6">
        <w:rPr>
          <w:sz w:val="24"/>
          <w:szCs w:val="24"/>
          <w:lang w:val="es-PE"/>
        </w:rPr>
        <w:t xml:space="preserve"> ha sido una característica predominante, distorsiona</w:t>
      </w:r>
      <w:r w:rsidR="00602D1E">
        <w:rPr>
          <w:sz w:val="24"/>
          <w:szCs w:val="24"/>
          <w:lang w:val="es-PE"/>
        </w:rPr>
        <w:t>n</w:t>
      </w:r>
      <w:r w:rsidRPr="00D068A6">
        <w:rPr>
          <w:sz w:val="24"/>
          <w:szCs w:val="24"/>
          <w:lang w:val="es-PE"/>
        </w:rPr>
        <w:t>do la asignación de recursos en un pa</w:t>
      </w:r>
      <w:r w:rsidR="002B464C" w:rsidRPr="00D068A6">
        <w:rPr>
          <w:sz w:val="24"/>
          <w:szCs w:val="24"/>
          <w:lang w:val="es-PE"/>
        </w:rPr>
        <w:t>ís que, presuntamente, p</w:t>
      </w:r>
      <w:r w:rsidR="000F6D47">
        <w:rPr>
          <w:sz w:val="24"/>
          <w:szCs w:val="24"/>
          <w:lang w:val="es-PE"/>
        </w:rPr>
        <w:t>ersigue</w:t>
      </w:r>
      <w:r w:rsidR="002B464C" w:rsidRPr="00D068A6">
        <w:rPr>
          <w:sz w:val="24"/>
          <w:szCs w:val="24"/>
          <w:lang w:val="es-PE"/>
        </w:rPr>
        <w:t xml:space="preserve"> una estrategia de crecimiento económico impulsada por las exportaciones. </w:t>
      </w:r>
      <w:r w:rsidR="00877F9B" w:rsidRPr="00D068A6">
        <w:rPr>
          <w:sz w:val="24"/>
          <w:szCs w:val="24"/>
          <w:lang w:val="es-PE"/>
        </w:rPr>
        <w:t xml:space="preserve"> </w:t>
      </w:r>
    </w:p>
    <w:p w14:paraId="5EA04381" w14:textId="77777777" w:rsidR="00877F9B" w:rsidRPr="00D068A6" w:rsidRDefault="00877F9B" w:rsidP="00877F9B">
      <w:pPr>
        <w:spacing w:line="360" w:lineRule="auto"/>
        <w:ind w:firstLine="708"/>
        <w:jc w:val="both"/>
        <w:rPr>
          <w:sz w:val="24"/>
          <w:szCs w:val="24"/>
          <w:lang w:val="es-PE"/>
        </w:rPr>
      </w:pPr>
    </w:p>
    <w:p w14:paraId="454AA6F8" w14:textId="5295CF47" w:rsidR="00877F9B" w:rsidRPr="00D068A6" w:rsidRDefault="000A7A8D" w:rsidP="00877F9B">
      <w:pPr>
        <w:pStyle w:val="Prrafodelista"/>
        <w:numPr>
          <w:ilvl w:val="0"/>
          <w:numId w:val="11"/>
        </w:numPr>
        <w:spacing w:line="360" w:lineRule="auto"/>
        <w:contextualSpacing w:val="0"/>
        <w:jc w:val="both"/>
        <w:rPr>
          <w:b/>
          <w:bCs/>
          <w:sz w:val="24"/>
          <w:szCs w:val="24"/>
          <w:lang w:val="es-PE"/>
        </w:rPr>
      </w:pPr>
      <w:r w:rsidRPr="00D068A6">
        <w:rPr>
          <w:b/>
          <w:bCs/>
          <w:sz w:val="24"/>
          <w:szCs w:val="24"/>
          <w:lang w:val="es-PE"/>
        </w:rPr>
        <w:t>El nuevo ciclo económico que se inició en</w:t>
      </w:r>
      <w:r w:rsidR="00877F9B" w:rsidRPr="00D068A6">
        <w:rPr>
          <w:b/>
          <w:bCs/>
          <w:sz w:val="24"/>
          <w:szCs w:val="24"/>
          <w:lang w:val="es-PE"/>
        </w:rPr>
        <w:t xml:space="preserve"> 2013</w:t>
      </w:r>
    </w:p>
    <w:p w14:paraId="5BF462A4" w14:textId="56E529B2" w:rsidR="00877F9B" w:rsidRPr="00D068A6" w:rsidRDefault="000A7A8D" w:rsidP="00877F9B">
      <w:pPr>
        <w:pStyle w:val="Prrafodelista"/>
        <w:numPr>
          <w:ilvl w:val="0"/>
          <w:numId w:val="5"/>
        </w:numPr>
        <w:spacing w:line="360" w:lineRule="auto"/>
        <w:contextualSpacing w:val="0"/>
        <w:jc w:val="both"/>
        <w:rPr>
          <w:i/>
          <w:iCs/>
          <w:sz w:val="24"/>
          <w:szCs w:val="24"/>
          <w:lang w:val="es-PE"/>
        </w:rPr>
      </w:pPr>
      <w:r w:rsidRPr="00D068A6">
        <w:rPr>
          <w:i/>
          <w:iCs/>
          <w:sz w:val="24"/>
          <w:szCs w:val="24"/>
          <w:lang w:val="es-PE"/>
        </w:rPr>
        <w:t>La situación heredada</w:t>
      </w:r>
    </w:p>
    <w:p w14:paraId="497912A8" w14:textId="61BEFA29" w:rsidR="00877F9B" w:rsidRPr="00D068A6" w:rsidRDefault="000A7A8D" w:rsidP="00877F9B">
      <w:pPr>
        <w:spacing w:line="360" w:lineRule="auto"/>
        <w:jc w:val="both"/>
        <w:rPr>
          <w:sz w:val="24"/>
          <w:szCs w:val="24"/>
          <w:lang w:val="es-PE"/>
        </w:rPr>
      </w:pPr>
      <w:r w:rsidRPr="00D068A6">
        <w:rPr>
          <w:sz w:val="24"/>
          <w:szCs w:val="24"/>
          <w:lang w:val="es-PE"/>
        </w:rPr>
        <w:t>Hacia</w:t>
      </w:r>
      <w:r w:rsidR="00877F9B" w:rsidRPr="00D068A6">
        <w:rPr>
          <w:sz w:val="24"/>
          <w:szCs w:val="24"/>
          <w:lang w:val="es-PE"/>
        </w:rPr>
        <w:t xml:space="preserve"> 2013,</w:t>
      </w:r>
      <w:r w:rsidRPr="00D068A6">
        <w:rPr>
          <w:sz w:val="24"/>
          <w:szCs w:val="24"/>
          <w:lang w:val="es-PE"/>
        </w:rPr>
        <w:t xml:space="preserve"> la economía chilena enfrentaba una </w:t>
      </w:r>
      <w:r w:rsidR="00046939" w:rsidRPr="00D068A6">
        <w:rPr>
          <w:sz w:val="24"/>
          <w:szCs w:val="24"/>
          <w:lang w:val="es-PE"/>
        </w:rPr>
        <w:t>combinación</w:t>
      </w:r>
      <w:r w:rsidRPr="00D068A6">
        <w:rPr>
          <w:sz w:val="24"/>
          <w:szCs w:val="24"/>
          <w:lang w:val="es-PE"/>
        </w:rPr>
        <w:t xml:space="preserve"> significativ</w:t>
      </w:r>
      <w:r w:rsidR="00A3699F">
        <w:rPr>
          <w:sz w:val="24"/>
          <w:szCs w:val="24"/>
          <w:lang w:val="es-PE"/>
        </w:rPr>
        <w:t>a de</w:t>
      </w:r>
      <w:r w:rsidRPr="00D068A6">
        <w:rPr>
          <w:sz w:val="24"/>
          <w:szCs w:val="24"/>
          <w:lang w:val="es-PE"/>
        </w:rPr>
        <w:t xml:space="preserve"> factores </w:t>
      </w:r>
      <w:r w:rsidR="004751B4">
        <w:rPr>
          <w:sz w:val="24"/>
          <w:szCs w:val="24"/>
          <w:lang w:val="es-PE"/>
        </w:rPr>
        <w:t>positivos y negativos</w:t>
      </w:r>
      <w:r w:rsidR="007D53C8">
        <w:rPr>
          <w:sz w:val="24"/>
          <w:szCs w:val="24"/>
          <w:lang w:val="es-PE"/>
        </w:rPr>
        <w:t>. Por el lado positivo</w:t>
      </w:r>
      <w:r w:rsidRPr="00D068A6">
        <w:rPr>
          <w:sz w:val="24"/>
          <w:szCs w:val="24"/>
          <w:lang w:val="es-PE"/>
        </w:rPr>
        <w:t>, el gobierno contaba con activos líquidos, equivalente a 11% del PBI, que podía utilizar</w:t>
      </w:r>
      <w:r w:rsidR="007D53C8">
        <w:rPr>
          <w:sz w:val="24"/>
          <w:szCs w:val="24"/>
          <w:lang w:val="es-PE"/>
        </w:rPr>
        <w:t xml:space="preserve"> en caso</w:t>
      </w:r>
      <w:r w:rsidRPr="00D068A6">
        <w:rPr>
          <w:sz w:val="24"/>
          <w:szCs w:val="24"/>
          <w:lang w:val="es-PE"/>
        </w:rPr>
        <w:t xml:space="preserve"> </w:t>
      </w:r>
      <w:r w:rsidR="004751B4">
        <w:rPr>
          <w:sz w:val="24"/>
          <w:szCs w:val="24"/>
          <w:lang w:val="es-PE"/>
        </w:rPr>
        <w:t>que fuera</w:t>
      </w:r>
      <w:r w:rsidRPr="00D068A6">
        <w:rPr>
          <w:sz w:val="24"/>
          <w:szCs w:val="24"/>
          <w:lang w:val="es-PE"/>
        </w:rPr>
        <w:t xml:space="preserve"> necesario poner en marcha un</w:t>
      </w:r>
      <w:r w:rsidR="009F33C3">
        <w:rPr>
          <w:sz w:val="24"/>
          <w:szCs w:val="24"/>
          <w:lang w:val="es-PE"/>
        </w:rPr>
        <w:t>a</w:t>
      </w:r>
      <w:r w:rsidRPr="00D068A6">
        <w:rPr>
          <w:sz w:val="24"/>
          <w:szCs w:val="24"/>
          <w:lang w:val="es-PE"/>
        </w:rPr>
        <w:t xml:space="preserve"> política fiscal contra</w:t>
      </w:r>
      <w:r w:rsidR="00D576E0">
        <w:rPr>
          <w:sz w:val="24"/>
          <w:szCs w:val="24"/>
          <w:lang w:val="es-PE"/>
        </w:rPr>
        <w:t>-</w:t>
      </w:r>
      <w:bookmarkStart w:id="0" w:name="_GoBack"/>
      <w:bookmarkEnd w:id="0"/>
      <w:r w:rsidRPr="00D068A6">
        <w:rPr>
          <w:sz w:val="24"/>
          <w:szCs w:val="24"/>
          <w:lang w:val="es-PE"/>
        </w:rPr>
        <w:t xml:space="preserve">cíclica. La tasa de interés </w:t>
      </w:r>
      <w:r w:rsidR="008B2ECB">
        <w:rPr>
          <w:sz w:val="24"/>
          <w:szCs w:val="24"/>
          <w:lang w:val="es-PE"/>
        </w:rPr>
        <w:t xml:space="preserve">que enfrentaba </w:t>
      </w:r>
      <w:r w:rsidRPr="00D068A6">
        <w:rPr>
          <w:sz w:val="24"/>
          <w:szCs w:val="24"/>
          <w:lang w:val="es-PE"/>
        </w:rPr>
        <w:t xml:space="preserve">en los mercados </w:t>
      </w:r>
      <w:r w:rsidR="007D53C8">
        <w:rPr>
          <w:sz w:val="24"/>
          <w:szCs w:val="24"/>
          <w:lang w:val="es-PE"/>
        </w:rPr>
        <w:t>financieros internacionales</w:t>
      </w:r>
      <w:r w:rsidRPr="00D068A6">
        <w:rPr>
          <w:sz w:val="24"/>
          <w:szCs w:val="24"/>
          <w:lang w:val="es-PE"/>
        </w:rPr>
        <w:t xml:space="preserve"> era </w:t>
      </w:r>
      <w:r w:rsidR="008B2ECB">
        <w:rPr>
          <w:sz w:val="24"/>
          <w:szCs w:val="24"/>
          <w:lang w:val="es-PE"/>
        </w:rPr>
        <w:t>muy</w:t>
      </w:r>
      <w:r w:rsidRPr="00D068A6">
        <w:rPr>
          <w:sz w:val="24"/>
          <w:szCs w:val="24"/>
          <w:lang w:val="es-PE"/>
        </w:rPr>
        <w:t xml:space="preserve"> baja </w:t>
      </w:r>
      <w:r w:rsidR="00877F9B" w:rsidRPr="00D068A6">
        <w:rPr>
          <w:sz w:val="24"/>
          <w:szCs w:val="24"/>
          <w:lang w:val="es-PE"/>
        </w:rPr>
        <w:t>(</w:t>
      </w:r>
      <w:r w:rsidR="00CA75BE" w:rsidRPr="00D068A6">
        <w:rPr>
          <w:sz w:val="24"/>
          <w:szCs w:val="24"/>
          <w:lang w:val="es-PE"/>
        </w:rPr>
        <w:t>con un</w:t>
      </w:r>
      <w:r w:rsidR="00877F9B" w:rsidRPr="00D068A6">
        <w:rPr>
          <w:sz w:val="24"/>
          <w:szCs w:val="24"/>
          <w:lang w:val="es-PE"/>
        </w:rPr>
        <w:t xml:space="preserve"> EMBI </w:t>
      </w:r>
      <w:r w:rsidRPr="00D068A6">
        <w:rPr>
          <w:sz w:val="24"/>
          <w:szCs w:val="24"/>
          <w:lang w:val="es-PE"/>
        </w:rPr>
        <w:t>de</w:t>
      </w:r>
      <w:r w:rsidR="00877F9B" w:rsidRPr="00D068A6">
        <w:rPr>
          <w:sz w:val="24"/>
          <w:szCs w:val="24"/>
          <w:lang w:val="es-PE"/>
        </w:rPr>
        <w:t xml:space="preserve"> 154 </w:t>
      </w:r>
      <w:r w:rsidRPr="00D068A6">
        <w:rPr>
          <w:sz w:val="24"/>
          <w:szCs w:val="24"/>
          <w:lang w:val="es-PE"/>
        </w:rPr>
        <w:t>puntos básicos</w:t>
      </w:r>
      <w:r w:rsidR="00877F9B" w:rsidRPr="00D068A6">
        <w:rPr>
          <w:sz w:val="24"/>
          <w:szCs w:val="24"/>
          <w:lang w:val="es-PE"/>
        </w:rPr>
        <w:t>).</w:t>
      </w:r>
      <w:r w:rsidRPr="00D068A6">
        <w:rPr>
          <w:sz w:val="24"/>
          <w:szCs w:val="24"/>
          <w:lang w:val="es-PE"/>
        </w:rPr>
        <w:t xml:space="preserve"> El Banco Central contaba con reservas internacionales netas equivalentes a </w:t>
      </w:r>
      <w:r w:rsidR="00877F9B" w:rsidRPr="00D068A6">
        <w:rPr>
          <w:sz w:val="24"/>
          <w:szCs w:val="24"/>
          <w:lang w:val="es-PE"/>
        </w:rPr>
        <w:t xml:space="preserve">16% </w:t>
      </w:r>
      <w:r w:rsidRPr="00D068A6">
        <w:rPr>
          <w:sz w:val="24"/>
          <w:szCs w:val="24"/>
          <w:lang w:val="es-PE"/>
        </w:rPr>
        <w:t>del PBI. El sistema bancario, a pesar del rápido aumento de créditos otorgados en los años recientes, parecía encontrarse en una situación sólida</w:t>
      </w:r>
      <w:r w:rsidR="00877F9B" w:rsidRPr="00D068A6">
        <w:rPr>
          <w:sz w:val="24"/>
          <w:szCs w:val="24"/>
          <w:lang w:val="es-PE"/>
        </w:rPr>
        <w:t>.</w:t>
      </w:r>
      <w:r w:rsidR="00877F9B" w:rsidRPr="00D068A6">
        <w:rPr>
          <w:rStyle w:val="Refdenotaalpie"/>
          <w:sz w:val="24"/>
          <w:szCs w:val="24"/>
          <w:lang w:val="es-PE"/>
        </w:rPr>
        <w:footnoteReference w:id="16"/>
      </w:r>
      <w:r w:rsidR="00877F9B" w:rsidRPr="00D068A6">
        <w:rPr>
          <w:sz w:val="24"/>
          <w:szCs w:val="24"/>
          <w:lang w:val="es-PE"/>
        </w:rPr>
        <w:t xml:space="preserve"> </w:t>
      </w:r>
      <w:r w:rsidRPr="00D068A6">
        <w:rPr>
          <w:sz w:val="24"/>
          <w:szCs w:val="24"/>
          <w:lang w:val="es-PE"/>
        </w:rPr>
        <w:t>La inversión se había recuperado tras el shock de 2008-09 y era relativamente elevada, c</w:t>
      </w:r>
      <w:r w:rsidR="00046939" w:rsidRPr="00D068A6">
        <w:rPr>
          <w:sz w:val="24"/>
          <w:szCs w:val="24"/>
          <w:lang w:val="es-PE"/>
        </w:rPr>
        <w:t>o</w:t>
      </w:r>
      <w:r w:rsidRPr="00D068A6">
        <w:rPr>
          <w:sz w:val="24"/>
          <w:szCs w:val="24"/>
          <w:lang w:val="es-PE"/>
        </w:rPr>
        <w:t xml:space="preserve">n una tasa </w:t>
      </w:r>
      <w:r w:rsidR="00C35022">
        <w:rPr>
          <w:sz w:val="24"/>
          <w:szCs w:val="24"/>
          <w:lang w:val="es-PE"/>
        </w:rPr>
        <w:t xml:space="preserve">de formación bruta de capital fijo (FBKF) </w:t>
      </w:r>
      <w:r w:rsidRPr="00D068A6">
        <w:rPr>
          <w:sz w:val="24"/>
          <w:szCs w:val="24"/>
          <w:lang w:val="es-PE"/>
        </w:rPr>
        <w:t xml:space="preserve">que, </w:t>
      </w:r>
      <w:r w:rsidR="00C35022">
        <w:rPr>
          <w:sz w:val="24"/>
          <w:szCs w:val="24"/>
          <w:lang w:val="es-PE"/>
        </w:rPr>
        <w:t>en</w:t>
      </w:r>
      <w:r w:rsidRPr="00D068A6">
        <w:rPr>
          <w:sz w:val="24"/>
          <w:szCs w:val="24"/>
          <w:lang w:val="es-PE"/>
        </w:rPr>
        <w:t xml:space="preserve"> pesos constant</w:t>
      </w:r>
      <w:r w:rsidR="00046939" w:rsidRPr="00D068A6">
        <w:rPr>
          <w:sz w:val="24"/>
          <w:szCs w:val="24"/>
          <w:lang w:val="es-PE"/>
        </w:rPr>
        <w:t>e</w:t>
      </w:r>
      <w:r w:rsidRPr="00D068A6">
        <w:rPr>
          <w:sz w:val="24"/>
          <w:szCs w:val="24"/>
          <w:lang w:val="es-PE"/>
        </w:rPr>
        <w:t>s, alcanzó</w:t>
      </w:r>
      <w:r w:rsidR="00877F9B" w:rsidRPr="00D068A6">
        <w:rPr>
          <w:sz w:val="24"/>
          <w:szCs w:val="24"/>
          <w:lang w:val="es-PE"/>
        </w:rPr>
        <w:t xml:space="preserve"> 26</w:t>
      </w:r>
      <w:r w:rsidRPr="00D068A6">
        <w:rPr>
          <w:sz w:val="24"/>
          <w:szCs w:val="24"/>
          <w:lang w:val="es-PE"/>
        </w:rPr>
        <w:t>,</w:t>
      </w:r>
      <w:r w:rsidR="00877F9B" w:rsidRPr="00D068A6">
        <w:rPr>
          <w:sz w:val="24"/>
          <w:szCs w:val="24"/>
          <w:lang w:val="es-PE"/>
        </w:rPr>
        <w:t xml:space="preserve">2% </w:t>
      </w:r>
      <w:r w:rsidRPr="00D068A6">
        <w:rPr>
          <w:sz w:val="24"/>
          <w:szCs w:val="24"/>
          <w:lang w:val="es-PE"/>
        </w:rPr>
        <w:t xml:space="preserve">del PBI en 2013, por encima del </w:t>
      </w:r>
      <w:r w:rsidRPr="006104A4">
        <w:rPr>
          <w:i/>
          <w:sz w:val="24"/>
          <w:szCs w:val="24"/>
          <w:lang w:val="es-PE"/>
        </w:rPr>
        <w:t>p</w:t>
      </w:r>
      <w:r w:rsidR="006104A4" w:rsidRPr="006104A4">
        <w:rPr>
          <w:i/>
          <w:sz w:val="24"/>
          <w:szCs w:val="24"/>
          <w:lang w:val="es-PE"/>
        </w:rPr>
        <w:t>eak</w:t>
      </w:r>
      <w:r w:rsidRPr="00D068A6">
        <w:rPr>
          <w:sz w:val="24"/>
          <w:szCs w:val="24"/>
          <w:lang w:val="es-PE"/>
        </w:rPr>
        <w:t xml:space="preserve"> previo </w:t>
      </w:r>
      <w:r w:rsidR="00251C32">
        <w:rPr>
          <w:sz w:val="24"/>
          <w:szCs w:val="24"/>
          <w:lang w:val="es-PE"/>
        </w:rPr>
        <w:t>registrado</w:t>
      </w:r>
      <w:r w:rsidRPr="00D068A6">
        <w:rPr>
          <w:sz w:val="24"/>
          <w:szCs w:val="24"/>
          <w:lang w:val="es-PE"/>
        </w:rPr>
        <w:t xml:space="preserve"> en 2008. Chile presentaba el mayor PBI per cápita (a </w:t>
      </w:r>
      <w:r w:rsidR="002B5A94">
        <w:rPr>
          <w:sz w:val="24"/>
          <w:szCs w:val="24"/>
          <w:lang w:val="es-PE"/>
        </w:rPr>
        <w:t xml:space="preserve">paridad de </w:t>
      </w:r>
      <w:r w:rsidRPr="00D068A6">
        <w:rPr>
          <w:sz w:val="24"/>
          <w:szCs w:val="24"/>
          <w:lang w:val="es-PE"/>
        </w:rPr>
        <w:t xml:space="preserve">poder de compra) de la región, a partir de un nivel que, a fines de la dictadura </w:t>
      </w:r>
      <w:r w:rsidR="006104A4">
        <w:rPr>
          <w:sz w:val="24"/>
          <w:szCs w:val="24"/>
          <w:lang w:val="es-PE"/>
        </w:rPr>
        <w:t>en</w:t>
      </w:r>
      <w:r w:rsidRPr="00D068A6">
        <w:rPr>
          <w:sz w:val="24"/>
          <w:szCs w:val="24"/>
          <w:lang w:val="es-PE"/>
        </w:rPr>
        <w:t xml:space="preserve"> 1989, se encontraba</w:t>
      </w:r>
      <w:r w:rsidR="00877F9B" w:rsidRPr="00D068A6">
        <w:rPr>
          <w:sz w:val="24"/>
          <w:szCs w:val="24"/>
          <w:lang w:val="es-PE"/>
        </w:rPr>
        <w:t xml:space="preserve"> </w:t>
      </w:r>
      <w:r w:rsidRPr="00D068A6">
        <w:rPr>
          <w:sz w:val="24"/>
          <w:szCs w:val="24"/>
          <w:lang w:val="es-PE"/>
        </w:rPr>
        <w:t>por debajo del promedio regional</w:t>
      </w:r>
      <w:r w:rsidR="00877F9B" w:rsidRPr="00D068A6">
        <w:rPr>
          <w:sz w:val="24"/>
          <w:szCs w:val="24"/>
          <w:lang w:val="es-PE"/>
        </w:rPr>
        <w:t xml:space="preserve">.  </w:t>
      </w:r>
    </w:p>
    <w:p w14:paraId="22EDD0C0" w14:textId="204EE7EB" w:rsidR="000A7A8D" w:rsidRPr="00D068A6" w:rsidRDefault="00877F9B" w:rsidP="00877F9B">
      <w:pPr>
        <w:spacing w:line="360" w:lineRule="auto"/>
        <w:jc w:val="both"/>
        <w:rPr>
          <w:sz w:val="24"/>
          <w:szCs w:val="24"/>
          <w:lang w:val="es-PE"/>
        </w:rPr>
      </w:pPr>
      <w:r w:rsidRPr="00D068A6">
        <w:rPr>
          <w:sz w:val="24"/>
          <w:szCs w:val="24"/>
          <w:lang w:val="es-PE"/>
        </w:rPr>
        <w:tab/>
      </w:r>
      <w:r w:rsidR="000A7A8D" w:rsidRPr="00D068A6">
        <w:rPr>
          <w:sz w:val="24"/>
          <w:szCs w:val="24"/>
          <w:lang w:val="es-PE"/>
        </w:rPr>
        <w:t xml:space="preserve">Todas estas características positivas subyacían la </w:t>
      </w:r>
      <w:r w:rsidR="00CA75BE" w:rsidRPr="00D068A6">
        <w:rPr>
          <w:sz w:val="24"/>
          <w:szCs w:val="24"/>
          <w:lang w:val="es-PE"/>
        </w:rPr>
        <w:t xml:space="preserve">buena </w:t>
      </w:r>
      <w:r w:rsidR="000A7A8D" w:rsidRPr="00D068A6">
        <w:rPr>
          <w:sz w:val="24"/>
          <w:szCs w:val="24"/>
          <w:lang w:val="es-PE"/>
        </w:rPr>
        <w:t xml:space="preserve">fama </w:t>
      </w:r>
      <w:r w:rsidR="00CA75BE" w:rsidRPr="00D068A6">
        <w:rPr>
          <w:sz w:val="24"/>
          <w:szCs w:val="24"/>
          <w:lang w:val="es-PE"/>
        </w:rPr>
        <w:t xml:space="preserve">de </w:t>
      </w:r>
      <w:r w:rsidR="000A7A8D" w:rsidRPr="00D068A6">
        <w:rPr>
          <w:sz w:val="24"/>
          <w:szCs w:val="24"/>
          <w:lang w:val="es-PE"/>
        </w:rPr>
        <w:t xml:space="preserve">que gozaba en </w:t>
      </w:r>
      <w:r w:rsidR="00CA75BE" w:rsidRPr="00D068A6">
        <w:rPr>
          <w:sz w:val="24"/>
          <w:szCs w:val="24"/>
          <w:lang w:val="es-PE"/>
        </w:rPr>
        <w:t>ese momento la economía chilena;</w:t>
      </w:r>
      <w:r w:rsidR="000A7A8D" w:rsidRPr="00D068A6">
        <w:rPr>
          <w:sz w:val="24"/>
          <w:szCs w:val="24"/>
          <w:lang w:val="es-PE"/>
        </w:rPr>
        <w:t xml:space="preserve"> sin embargo, las vulner</w:t>
      </w:r>
      <w:r w:rsidR="00CA75BE" w:rsidRPr="00D068A6">
        <w:rPr>
          <w:sz w:val="24"/>
          <w:szCs w:val="24"/>
          <w:lang w:val="es-PE"/>
        </w:rPr>
        <w:t>abilidades que existían ya en 2013</w:t>
      </w:r>
      <w:r w:rsidR="000A7A8D" w:rsidRPr="00D068A6">
        <w:rPr>
          <w:sz w:val="24"/>
          <w:szCs w:val="24"/>
          <w:lang w:val="es-PE"/>
        </w:rPr>
        <w:t xml:space="preserve"> se </w:t>
      </w:r>
      <w:r w:rsidR="00E15BCB">
        <w:rPr>
          <w:sz w:val="24"/>
          <w:szCs w:val="24"/>
          <w:lang w:val="es-PE"/>
        </w:rPr>
        <w:lastRenderedPageBreak/>
        <w:t>manifestaban</w:t>
      </w:r>
      <w:r w:rsidR="000A7A8D" w:rsidRPr="00D068A6">
        <w:rPr>
          <w:sz w:val="24"/>
          <w:szCs w:val="24"/>
          <w:lang w:val="es-PE"/>
        </w:rPr>
        <w:t xml:space="preserve"> en las tendencias evidentes en varias de dichas características. Aquí examinamos seis variables que indican que, si no se llevaba a cabo una implementación rápida de un programa contracíclico y estructural</w:t>
      </w:r>
      <w:r w:rsidR="00A947C5">
        <w:rPr>
          <w:sz w:val="24"/>
          <w:szCs w:val="24"/>
          <w:lang w:val="es-PE"/>
        </w:rPr>
        <w:t xml:space="preserve"> </w:t>
      </w:r>
      <w:r w:rsidR="002B5A94">
        <w:rPr>
          <w:sz w:val="24"/>
          <w:szCs w:val="24"/>
          <w:lang w:val="es-PE"/>
        </w:rPr>
        <w:t>v</w:t>
      </w:r>
      <w:r w:rsidR="000A7A8D" w:rsidRPr="00D068A6">
        <w:rPr>
          <w:sz w:val="24"/>
          <w:szCs w:val="24"/>
          <w:lang w:val="es-PE"/>
        </w:rPr>
        <w:t>igoros</w:t>
      </w:r>
      <w:r w:rsidR="002B5A94">
        <w:rPr>
          <w:sz w:val="24"/>
          <w:szCs w:val="24"/>
          <w:lang w:val="es-PE"/>
        </w:rPr>
        <w:t>o</w:t>
      </w:r>
      <w:r w:rsidR="000A7A8D" w:rsidRPr="00D068A6">
        <w:rPr>
          <w:sz w:val="24"/>
          <w:szCs w:val="24"/>
          <w:lang w:val="es-PE"/>
        </w:rPr>
        <w:t xml:space="preserve">, después del 2013 era probable que se produjese un reajuste recesivo espontáneo. </w:t>
      </w:r>
    </w:p>
    <w:p w14:paraId="2816C973" w14:textId="41115E91" w:rsidR="00877F9B" w:rsidRPr="00D068A6" w:rsidRDefault="002B5A94" w:rsidP="000A7A8D">
      <w:pPr>
        <w:spacing w:line="360" w:lineRule="auto"/>
        <w:ind w:firstLine="708"/>
        <w:jc w:val="both"/>
        <w:rPr>
          <w:sz w:val="24"/>
          <w:szCs w:val="24"/>
          <w:lang w:val="es-PE"/>
        </w:rPr>
      </w:pPr>
      <w:r>
        <w:rPr>
          <w:sz w:val="24"/>
          <w:szCs w:val="24"/>
          <w:lang w:val="es-PE"/>
        </w:rPr>
        <w:t>P</w:t>
      </w:r>
      <w:r w:rsidR="000A7A8D" w:rsidRPr="00D068A6">
        <w:rPr>
          <w:sz w:val="24"/>
          <w:szCs w:val="24"/>
          <w:lang w:val="es-PE"/>
        </w:rPr>
        <w:t>rimer</w:t>
      </w:r>
      <w:r>
        <w:rPr>
          <w:sz w:val="24"/>
          <w:szCs w:val="24"/>
          <w:lang w:val="es-PE"/>
        </w:rPr>
        <w:t>o</w:t>
      </w:r>
      <w:r w:rsidR="000A7A8D" w:rsidRPr="00D068A6">
        <w:rPr>
          <w:sz w:val="24"/>
          <w:szCs w:val="24"/>
          <w:lang w:val="es-PE"/>
        </w:rPr>
        <w:t xml:space="preserve">, la responsabilidad fiscal se había relajado, como ya </w:t>
      </w:r>
      <w:r w:rsidR="00F8374E">
        <w:rPr>
          <w:sz w:val="24"/>
          <w:szCs w:val="24"/>
          <w:lang w:val="es-PE"/>
        </w:rPr>
        <w:t xml:space="preserve">lo </w:t>
      </w:r>
      <w:r w:rsidR="000A7A8D" w:rsidRPr="00D068A6">
        <w:rPr>
          <w:sz w:val="24"/>
          <w:szCs w:val="24"/>
          <w:lang w:val="es-PE"/>
        </w:rPr>
        <w:t>mostraba el desequilibrio entre los ingresos permanentes y los gastos permanentes. Si se deseaba lograr el objetivo de contar con un presupuesto fiscal estructural equilibrado, el precio tendencial del cobre habría tenido que seguir siendo notablemente elevado y el crecimiento del gasto tendría que haber disminuido y/o debería haber</w:t>
      </w:r>
      <w:r>
        <w:rPr>
          <w:sz w:val="24"/>
          <w:szCs w:val="24"/>
          <w:lang w:val="es-PE"/>
        </w:rPr>
        <w:t>se</w:t>
      </w:r>
      <w:r w:rsidR="000A7A8D" w:rsidRPr="00D068A6">
        <w:rPr>
          <w:sz w:val="24"/>
          <w:szCs w:val="24"/>
          <w:lang w:val="es-PE"/>
        </w:rPr>
        <w:t xml:space="preserve"> implementado una reforma </w:t>
      </w:r>
      <w:r w:rsidR="00010ADD" w:rsidRPr="00D068A6">
        <w:rPr>
          <w:sz w:val="24"/>
          <w:szCs w:val="24"/>
          <w:lang w:val="es-PE"/>
        </w:rPr>
        <w:t xml:space="preserve">tributaria para incrementar los ingresos. Es revelador que el sector fiscal haya perdido esta excepcional característica de ser acreedor neto </w:t>
      </w:r>
      <w:r w:rsidR="00BA4581">
        <w:rPr>
          <w:sz w:val="24"/>
          <w:szCs w:val="24"/>
          <w:lang w:val="es-PE"/>
        </w:rPr>
        <w:t xml:space="preserve">por varios años </w:t>
      </w:r>
      <w:r w:rsidR="00010ADD" w:rsidRPr="00D068A6">
        <w:rPr>
          <w:sz w:val="24"/>
          <w:szCs w:val="24"/>
          <w:lang w:val="es-PE"/>
        </w:rPr>
        <w:t>y que en 2012 ha</w:t>
      </w:r>
      <w:r w:rsidR="00BA4581">
        <w:rPr>
          <w:sz w:val="24"/>
          <w:szCs w:val="24"/>
          <w:lang w:val="es-PE"/>
        </w:rPr>
        <w:t>y</w:t>
      </w:r>
      <w:r w:rsidR="00010ADD" w:rsidRPr="00D068A6">
        <w:rPr>
          <w:sz w:val="24"/>
          <w:szCs w:val="24"/>
          <w:lang w:val="es-PE"/>
        </w:rPr>
        <w:t>a pasado a ser un deudor neto, a pesar de que aún se beneficiaba del muy elevado precio del cobre</w:t>
      </w:r>
      <w:r w:rsidR="000A7A8D" w:rsidRPr="00D068A6">
        <w:rPr>
          <w:sz w:val="24"/>
          <w:szCs w:val="24"/>
          <w:lang w:val="es-PE"/>
        </w:rPr>
        <w:t xml:space="preserve"> </w:t>
      </w:r>
      <w:r w:rsidR="0015312B" w:rsidRPr="00D068A6">
        <w:rPr>
          <w:sz w:val="24"/>
          <w:szCs w:val="24"/>
          <w:lang w:val="es-PE"/>
        </w:rPr>
        <w:t>(</w:t>
      </w:r>
      <w:r w:rsidR="00CA75BE" w:rsidRPr="00D068A6">
        <w:rPr>
          <w:sz w:val="24"/>
          <w:szCs w:val="24"/>
          <w:lang w:val="es-PE"/>
        </w:rPr>
        <w:t>US$3,</w:t>
      </w:r>
      <w:r w:rsidR="00877F9B" w:rsidRPr="00D068A6">
        <w:rPr>
          <w:sz w:val="24"/>
          <w:szCs w:val="24"/>
          <w:lang w:val="es-PE"/>
        </w:rPr>
        <w:t>61/lb</w:t>
      </w:r>
      <w:r w:rsidR="0015312B" w:rsidRPr="00D068A6">
        <w:rPr>
          <w:sz w:val="24"/>
          <w:szCs w:val="24"/>
          <w:lang w:val="es-PE"/>
        </w:rPr>
        <w:t>)</w:t>
      </w:r>
      <w:r w:rsidR="00877F9B" w:rsidRPr="00D068A6">
        <w:rPr>
          <w:sz w:val="24"/>
          <w:szCs w:val="24"/>
          <w:lang w:val="es-PE"/>
        </w:rPr>
        <w:t xml:space="preserve">. </w:t>
      </w:r>
      <w:r w:rsidR="00877F9B" w:rsidRPr="00D068A6">
        <w:rPr>
          <w:sz w:val="24"/>
          <w:lang w:val="es-PE"/>
        </w:rPr>
        <w:t xml:space="preserve">Cabe destacar que </w:t>
      </w:r>
      <w:r w:rsidR="00AE2B11" w:rsidRPr="00D068A6">
        <w:rPr>
          <w:sz w:val="24"/>
          <w:lang w:val="es-PE"/>
        </w:rPr>
        <w:t>el FEES</w:t>
      </w:r>
      <w:r w:rsidR="00877F9B" w:rsidRPr="00D068A6">
        <w:rPr>
          <w:sz w:val="24"/>
          <w:lang w:val="es-PE"/>
        </w:rPr>
        <w:t xml:space="preserve"> aparecía acumulando fondos hasta en el 2013, a pesar de que el presupuesto fiscal registr</w:t>
      </w:r>
      <w:r w:rsidR="009F33C3">
        <w:rPr>
          <w:sz w:val="24"/>
          <w:lang w:val="es-PE"/>
        </w:rPr>
        <w:t>ó</w:t>
      </w:r>
      <w:r w:rsidR="00877F9B" w:rsidRPr="00D068A6">
        <w:rPr>
          <w:sz w:val="24"/>
          <w:lang w:val="es-PE"/>
        </w:rPr>
        <w:t xml:space="preserve"> un déficit efectivo de 0,6% del PIB en ese año. La aparente contradicción se resuelve al examinar </w:t>
      </w:r>
      <w:r w:rsidR="00BA4581">
        <w:rPr>
          <w:sz w:val="24"/>
          <w:lang w:val="es-PE"/>
        </w:rPr>
        <w:t xml:space="preserve">lo </w:t>
      </w:r>
      <w:r w:rsidR="00877F9B" w:rsidRPr="00D068A6">
        <w:rPr>
          <w:sz w:val="24"/>
          <w:lang w:val="es-PE"/>
        </w:rPr>
        <w:t xml:space="preserve">sucedido con los pasivos de la Tesorería Nacional. El cuadro </w:t>
      </w:r>
      <w:r w:rsidR="00CD55CA" w:rsidRPr="00D068A6">
        <w:rPr>
          <w:sz w:val="24"/>
          <w:lang w:val="es-PE"/>
        </w:rPr>
        <w:t>4</w:t>
      </w:r>
      <w:r w:rsidR="00877F9B" w:rsidRPr="00D068A6">
        <w:rPr>
          <w:sz w:val="24"/>
          <w:lang w:val="es-PE"/>
        </w:rPr>
        <w:t xml:space="preserve"> provee la evidencia aclaratoria.  La reposición de fondos soberanos en 2010-13 tuvo como contrapartida un notable incremento de l</w:t>
      </w:r>
      <w:r w:rsidR="00E15BCB">
        <w:rPr>
          <w:sz w:val="24"/>
          <w:lang w:val="es-PE"/>
        </w:rPr>
        <w:t>a deuda fiscal</w:t>
      </w:r>
      <w:r w:rsidR="00877F9B" w:rsidRPr="00D068A6">
        <w:rPr>
          <w:sz w:val="24"/>
          <w:lang w:val="es-PE"/>
        </w:rPr>
        <w:t xml:space="preserve">; </w:t>
      </w:r>
      <w:r w:rsidR="00E15BCB">
        <w:rPr>
          <w:sz w:val="24"/>
          <w:lang w:val="es-PE"/>
        </w:rPr>
        <w:t>sus</w:t>
      </w:r>
      <w:r w:rsidR="00877F9B" w:rsidRPr="00D068A6">
        <w:rPr>
          <w:sz w:val="24"/>
          <w:lang w:val="es-PE"/>
        </w:rPr>
        <w:t xml:space="preserve"> pasivos en el 2013 triplicaron el nivel de 2009, incrementándose </w:t>
      </w:r>
      <w:r w:rsidR="00CD55CA" w:rsidRPr="00D068A6">
        <w:rPr>
          <w:sz w:val="24"/>
          <w:lang w:val="es-PE"/>
        </w:rPr>
        <w:t xml:space="preserve"> a 11,8% </w:t>
      </w:r>
      <w:r w:rsidR="00877F9B" w:rsidRPr="00D068A6">
        <w:rPr>
          <w:sz w:val="24"/>
          <w:lang w:val="es-PE"/>
        </w:rPr>
        <w:t>del PIB</w:t>
      </w:r>
      <w:r w:rsidR="00011167" w:rsidRPr="00D068A6">
        <w:rPr>
          <w:sz w:val="24"/>
          <w:lang w:val="es-PE"/>
        </w:rPr>
        <w:t>.</w:t>
      </w:r>
      <w:r w:rsidR="00011167" w:rsidRPr="00D068A6">
        <w:rPr>
          <w:rStyle w:val="Refdenotaalpie"/>
          <w:sz w:val="24"/>
          <w:lang w:val="es-PE"/>
        </w:rPr>
        <w:footnoteReference w:id="17"/>
      </w:r>
      <w:r w:rsidR="00011167" w:rsidRPr="00D068A6">
        <w:rPr>
          <w:sz w:val="24"/>
          <w:lang w:val="es-PE"/>
        </w:rPr>
        <w:t xml:space="preserve"> </w:t>
      </w:r>
      <w:r w:rsidR="00877F9B" w:rsidRPr="00D068A6">
        <w:rPr>
          <w:sz w:val="24"/>
          <w:lang w:val="es-PE"/>
        </w:rPr>
        <w:t xml:space="preserve">  </w:t>
      </w:r>
    </w:p>
    <w:p w14:paraId="633DF71A" w14:textId="4C93146F" w:rsidR="00877F9B" w:rsidRPr="00D068A6" w:rsidRDefault="00877F9B" w:rsidP="00877F9B">
      <w:pPr>
        <w:tabs>
          <w:tab w:val="left" w:pos="720"/>
          <w:tab w:val="left" w:pos="900"/>
        </w:tabs>
        <w:spacing w:line="360" w:lineRule="auto"/>
        <w:jc w:val="both"/>
        <w:rPr>
          <w:sz w:val="24"/>
          <w:szCs w:val="24"/>
          <w:lang w:val="es-PE"/>
        </w:rPr>
      </w:pPr>
      <w:r w:rsidRPr="00D068A6">
        <w:rPr>
          <w:sz w:val="24"/>
          <w:szCs w:val="24"/>
          <w:lang w:val="es-PE"/>
        </w:rPr>
        <w:tab/>
      </w:r>
      <w:r w:rsidRPr="00D068A6">
        <w:rPr>
          <w:sz w:val="24"/>
          <w:szCs w:val="24"/>
          <w:lang w:val="es-PE"/>
        </w:rPr>
        <w:tab/>
      </w:r>
      <w:r w:rsidRPr="00D068A6">
        <w:rPr>
          <w:sz w:val="24"/>
          <w:szCs w:val="24"/>
          <w:lang w:val="es-PE"/>
        </w:rPr>
        <w:tab/>
      </w:r>
      <w:r w:rsidRPr="00D068A6">
        <w:rPr>
          <w:sz w:val="24"/>
          <w:szCs w:val="24"/>
          <w:lang w:val="es-PE"/>
        </w:rPr>
        <w:tab/>
      </w:r>
      <w:r w:rsidRPr="00D068A6">
        <w:rPr>
          <w:sz w:val="24"/>
          <w:szCs w:val="24"/>
          <w:lang w:val="es-PE"/>
        </w:rPr>
        <w:tab/>
        <w:t xml:space="preserve">                </w:t>
      </w:r>
      <w:r w:rsidR="001C3977" w:rsidRPr="00D068A6">
        <w:rPr>
          <w:sz w:val="24"/>
          <w:szCs w:val="24"/>
          <w:lang w:val="es-PE"/>
        </w:rPr>
        <w:t>Cuadro</w:t>
      </w:r>
      <w:r w:rsidRPr="00D068A6">
        <w:rPr>
          <w:sz w:val="24"/>
          <w:szCs w:val="24"/>
          <w:lang w:val="es-PE"/>
        </w:rPr>
        <w:t xml:space="preserve"> </w:t>
      </w:r>
      <w:r w:rsidR="00CD55CA" w:rsidRPr="00D068A6">
        <w:rPr>
          <w:sz w:val="24"/>
          <w:szCs w:val="24"/>
          <w:lang w:val="es-PE"/>
        </w:rPr>
        <w:t>4</w:t>
      </w:r>
      <w:r w:rsidR="00A3126F" w:rsidRPr="00D068A6">
        <w:rPr>
          <w:sz w:val="24"/>
          <w:szCs w:val="24"/>
          <w:lang w:val="es-PE"/>
        </w:rPr>
        <w:t xml:space="preserve"> </w:t>
      </w:r>
    </w:p>
    <w:p w14:paraId="182F79AD" w14:textId="6710DC34" w:rsidR="009F33C3" w:rsidRPr="00D068A6" w:rsidRDefault="00213769" w:rsidP="009F33C3">
      <w:pPr>
        <w:spacing w:line="360" w:lineRule="auto"/>
        <w:ind w:firstLine="708"/>
        <w:jc w:val="both"/>
        <w:rPr>
          <w:sz w:val="24"/>
          <w:szCs w:val="24"/>
          <w:lang w:val="es-PE"/>
        </w:rPr>
      </w:pPr>
      <w:r>
        <w:rPr>
          <w:sz w:val="24"/>
          <w:szCs w:val="24"/>
          <w:lang w:val="es-PE"/>
        </w:rPr>
        <w:t>S</w:t>
      </w:r>
      <w:r w:rsidR="00010ADD" w:rsidRPr="00D068A6">
        <w:rPr>
          <w:sz w:val="24"/>
          <w:szCs w:val="24"/>
          <w:lang w:val="es-PE"/>
        </w:rPr>
        <w:t xml:space="preserve">egundo, </w:t>
      </w:r>
      <w:r w:rsidR="009F33C3">
        <w:rPr>
          <w:sz w:val="24"/>
          <w:szCs w:val="24"/>
          <w:lang w:val="es-PE"/>
        </w:rPr>
        <w:t>e</w:t>
      </w:r>
      <w:r w:rsidR="009F33C3" w:rsidRPr="00D068A6">
        <w:rPr>
          <w:sz w:val="24"/>
          <w:szCs w:val="24"/>
          <w:lang w:val="es-PE"/>
        </w:rPr>
        <w:t xml:space="preserve">l mecanismo de estabilización fiscal –el </w:t>
      </w:r>
      <w:r w:rsidR="009F33C3">
        <w:rPr>
          <w:sz w:val="24"/>
          <w:szCs w:val="24"/>
          <w:lang w:val="es-PE"/>
        </w:rPr>
        <w:t>B</w:t>
      </w:r>
      <w:r w:rsidR="009F33C3" w:rsidRPr="00D068A6">
        <w:rPr>
          <w:sz w:val="24"/>
          <w:szCs w:val="24"/>
          <w:lang w:val="es-PE"/>
        </w:rPr>
        <w:t>FE–</w:t>
      </w:r>
      <w:r w:rsidR="009F33C3">
        <w:rPr>
          <w:sz w:val="24"/>
          <w:szCs w:val="24"/>
          <w:lang w:val="es-PE"/>
        </w:rPr>
        <w:t>,</w:t>
      </w:r>
      <w:r w:rsidR="009F33C3" w:rsidRPr="00D068A6">
        <w:rPr>
          <w:sz w:val="24"/>
          <w:szCs w:val="24"/>
          <w:lang w:val="es-PE"/>
        </w:rPr>
        <w:t xml:space="preserve"> evidentemente un activo valioso</w:t>
      </w:r>
      <w:r w:rsidR="009F33C3">
        <w:rPr>
          <w:sz w:val="24"/>
          <w:szCs w:val="24"/>
          <w:lang w:val="es-PE"/>
        </w:rPr>
        <w:t xml:space="preserve">, </w:t>
      </w:r>
      <w:r w:rsidR="009F33C3" w:rsidRPr="00F8374E">
        <w:rPr>
          <w:sz w:val="24"/>
          <w:szCs w:val="24"/>
          <w:lang w:val="es-PE"/>
        </w:rPr>
        <w:t>sub-estabilizó</w:t>
      </w:r>
      <w:r w:rsidR="00ED0323" w:rsidRPr="00F8374E">
        <w:rPr>
          <w:sz w:val="24"/>
          <w:szCs w:val="24"/>
          <w:lang w:val="es-PE"/>
        </w:rPr>
        <w:t>,</w:t>
      </w:r>
      <w:r w:rsidR="00ED0323">
        <w:rPr>
          <w:sz w:val="24"/>
          <w:szCs w:val="24"/>
          <w:lang w:val="es-PE"/>
        </w:rPr>
        <w:t xml:space="preserve"> no solo respecto al PIB tendencial sino también del precio tendencial del cobre</w:t>
      </w:r>
      <w:r w:rsidR="009F33C3" w:rsidRPr="00D068A6">
        <w:rPr>
          <w:sz w:val="24"/>
          <w:szCs w:val="24"/>
          <w:lang w:val="es-PE"/>
        </w:rPr>
        <w:t>.</w:t>
      </w:r>
      <w:r w:rsidR="009F33C3" w:rsidRPr="00D068A6">
        <w:rPr>
          <w:rStyle w:val="Refdenotaalpie"/>
          <w:sz w:val="24"/>
          <w:szCs w:val="24"/>
          <w:lang w:val="es-PE"/>
        </w:rPr>
        <w:footnoteReference w:id="18"/>
      </w:r>
      <w:r w:rsidR="009F33C3" w:rsidRPr="00D068A6">
        <w:rPr>
          <w:sz w:val="24"/>
          <w:szCs w:val="24"/>
          <w:lang w:val="es-PE"/>
        </w:rPr>
        <w:t xml:space="preserve"> A pri</w:t>
      </w:r>
      <w:r w:rsidR="009F33C3">
        <w:rPr>
          <w:sz w:val="24"/>
          <w:szCs w:val="24"/>
          <w:lang w:val="es-PE"/>
        </w:rPr>
        <w:t>nci</w:t>
      </w:r>
      <w:r w:rsidR="009F33C3" w:rsidRPr="00D068A6">
        <w:rPr>
          <w:sz w:val="24"/>
          <w:szCs w:val="24"/>
          <w:lang w:val="es-PE"/>
        </w:rPr>
        <w:t>pios de 2016, el precio nominal del cobre disminuyó temporalmente por debajo de US$2/lb, haciendo que el gobierno convocase a una reunión extraordinaria del Comité de</w:t>
      </w:r>
      <w:r w:rsidR="009F33C3">
        <w:rPr>
          <w:sz w:val="24"/>
          <w:szCs w:val="24"/>
          <w:lang w:val="es-PE"/>
        </w:rPr>
        <w:t>l</w:t>
      </w:r>
      <w:r w:rsidR="009F33C3" w:rsidRPr="00D068A6">
        <w:rPr>
          <w:sz w:val="24"/>
          <w:szCs w:val="24"/>
          <w:lang w:val="es-PE"/>
        </w:rPr>
        <w:t xml:space="preserve"> Precio</w:t>
      </w:r>
      <w:r w:rsidR="009F33C3">
        <w:rPr>
          <w:sz w:val="24"/>
          <w:szCs w:val="24"/>
          <w:lang w:val="es-PE"/>
        </w:rPr>
        <w:t xml:space="preserve"> Tendencial</w:t>
      </w:r>
      <w:r w:rsidR="009F33C3" w:rsidRPr="00D068A6">
        <w:rPr>
          <w:sz w:val="24"/>
          <w:szCs w:val="24"/>
          <w:lang w:val="es-PE"/>
        </w:rPr>
        <w:t xml:space="preserve"> del Cobre que redujo su estimado previo de US$2</w:t>
      </w:r>
      <w:r w:rsidR="00ED0323">
        <w:rPr>
          <w:sz w:val="24"/>
          <w:szCs w:val="24"/>
          <w:lang w:val="es-PE"/>
        </w:rPr>
        <w:t>,</w:t>
      </w:r>
      <w:r w:rsidR="009F33C3" w:rsidRPr="00D068A6">
        <w:rPr>
          <w:sz w:val="24"/>
          <w:szCs w:val="24"/>
          <w:lang w:val="es-PE"/>
        </w:rPr>
        <w:t xml:space="preserve">98/lb para </w:t>
      </w:r>
      <w:r w:rsidR="009F33C3" w:rsidRPr="00D068A6">
        <w:rPr>
          <w:sz w:val="24"/>
          <w:szCs w:val="24"/>
          <w:lang w:val="es-PE"/>
        </w:rPr>
        <w:lastRenderedPageBreak/>
        <w:t>2016 a US$2</w:t>
      </w:r>
      <w:r w:rsidR="00ED0323">
        <w:rPr>
          <w:sz w:val="24"/>
          <w:szCs w:val="24"/>
          <w:lang w:val="es-PE"/>
        </w:rPr>
        <w:t>,</w:t>
      </w:r>
      <w:r w:rsidR="009F33C3" w:rsidRPr="00D068A6">
        <w:rPr>
          <w:sz w:val="24"/>
          <w:szCs w:val="24"/>
          <w:lang w:val="es-PE"/>
        </w:rPr>
        <w:t xml:space="preserve">57, mientras que durante el primer semestre de 2016 el precio </w:t>
      </w:r>
      <w:r w:rsidR="009F33C3">
        <w:rPr>
          <w:sz w:val="24"/>
          <w:szCs w:val="24"/>
          <w:lang w:val="es-PE"/>
        </w:rPr>
        <w:t>efectivo</w:t>
      </w:r>
      <w:r w:rsidR="009F33C3" w:rsidRPr="00D068A6">
        <w:rPr>
          <w:sz w:val="24"/>
          <w:szCs w:val="24"/>
          <w:lang w:val="es-PE"/>
        </w:rPr>
        <w:t xml:space="preserve"> osciló alrededor de US$2</w:t>
      </w:r>
      <w:r w:rsidR="00ED0323">
        <w:rPr>
          <w:sz w:val="24"/>
          <w:szCs w:val="24"/>
          <w:lang w:val="es-PE"/>
        </w:rPr>
        <w:t>,</w:t>
      </w:r>
      <w:r w:rsidR="009F33C3" w:rsidRPr="00D068A6">
        <w:rPr>
          <w:sz w:val="24"/>
          <w:szCs w:val="24"/>
          <w:lang w:val="es-PE"/>
        </w:rPr>
        <w:t>15.</w:t>
      </w:r>
    </w:p>
    <w:p w14:paraId="168E26BE" w14:textId="228EDC21" w:rsidR="009F33C3" w:rsidRDefault="00ED0323" w:rsidP="009F33C3">
      <w:pPr>
        <w:tabs>
          <w:tab w:val="left" w:pos="7513"/>
        </w:tabs>
        <w:spacing w:line="360" w:lineRule="auto"/>
        <w:ind w:firstLine="708"/>
        <w:jc w:val="both"/>
        <w:rPr>
          <w:sz w:val="24"/>
          <w:szCs w:val="24"/>
          <w:lang w:val="es-PE"/>
        </w:rPr>
      </w:pPr>
      <w:r>
        <w:rPr>
          <w:sz w:val="24"/>
          <w:szCs w:val="24"/>
          <w:lang w:val="es-PE"/>
        </w:rPr>
        <w:t>Tercero</w:t>
      </w:r>
      <w:r w:rsidR="009F33C3" w:rsidRPr="00D068A6">
        <w:rPr>
          <w:sz w:val="24"/>
          <w:szCs w:val="24"/>
          <w:lang w:val="es-PE"/>
        </w:rPr>
        <w:t>, durante la mayor parte del auge de precios</w:t>
      </w:r>
      <w:r w:rsidR="009F33C3">
        <w:rPr>
          <w:sz w:val="24"/>
          <w:szCs w:val="24"/>
          <w:lang w:val="es-PE"/>
        </w:rPr>
        <w:t xml:space="preserve">, </w:t>
      </w:r>
      <w:r w:rsidR="009F33C3" w:rsidRPr="00D068A6">
        <w:rPr>
          <w:sz w:val="24"/>
          <w:szCs w:val="24"/>
          <w:lang w:val="es-PE"/>
        </w:rPr>
        <w:t xml:space="preserve">de una década de duración, </w:t>
      </w:r>
      <w:r w:rsidR="009F33C3">
        <w:rPr>
          <w:sz w:val="24"/>
          <w:szCs w:val="24"/>
          <w:lang w:val="es-PE"/>
        </w:rPr>
        <w:t xml:space="preserve">el tipo </w:t>
      </w:r>
      <w:r w:rsidR="009F33C3" w:rsidRPr="00D068A6">
        <w:rPr>
          <w:sz w:val="24"/>
          <w:szCs w:val="24"/>
          <w:lang w:val="es-PE"/>
        </w:rPr>
        <w:t>de cambio</w:t>
      </w:r>
      <w:r w:rsidR="009F33C3">
        <w:rPr>
          <w:sz w:val="24"/>
          <w:szCs w:val="24"/>
          <w:lang w:val="es-PE"/>
        </w:rPr>
        <w:t xml:space="preserve"> </w:t>
      </w:r>
      <w:r w:rsidR="009F33C3" w:rsidRPr="00D068A6">
        <w:rPr>
          <w:sz w:val="24"/>
          <w:szCs w:val="24"/>
          <w:lang w:val="es-PE"/>
        </w:rPr>
        <w:t>real estuvo sobre</w:t>
      </w:r>
      <w:r w:rsidR="009F33C3">
        <w:rPr>
          <w:sz w:val="24"/>
          <w:szCs w:val="24"/>
          <w:lang w:val="es-PE"/>
        </w:rPr>
        <w:t>-</w:t>
      </w:r>
      <w:r w:rsidR="009F33C3" w:rsidRPr="00D068A6">
        <w:rPr>
          <w:sz w:val="24"/>
          <w:szCs w:val="24"/>
          <w:lang w:val="es-PE"/>
        </w:rPr>
        <w:t>apreciad</w:t>
      </w:r>
      <w:r w:rsidR="009F33C3">
        <w:rPr>
          <w:sz w:val="24"/>
          <w:szCs w:val="24"/>
          <w:lang w:val="es-PE"/>
        </w:rPr>
        <w:t>o</w:t>
      </w:r>
      <w:r w:rsidR="009F33C3" w:rsidRPr="00D068A6">
        <w:rPr>
          <w:sz w:val="24"/>
          <w:szCs w:val="24"/>
          <w:lang w:val="es-PE"/>
        </w:rPr>
        <w:t xml:space="preserve"> como lo refleja el creciente desequilibrio comercial. En la década que concluyó en 2013, el volumen de las importaciones (medidas por el Banco Central) aumentó 117% mientras que el de las exportaciones aumentó apenas 25%</w:t>
      </w:r>
      <w:r w:rsidR="009F33C3">
        <w:rPr>
          <w:sz w:val="24"/>
          <w:szCs w:val="24"/>
          <w:lang w:val="es-PE"/>
        </w:rPr>
        <w:t>,</w:t>
      </w:r>
      <w:r w:rsidR="009F33C3" w:rsidRPr="00D068A6">
        <w:rPr>
          <w:sz w:val="24"/>
          <w:szCs w:val="24"/>
          <w:lang w:val="es-PE"/>
        </w:rPr>
        <w:t xml:space="preserve"> además de haberse estancado la diversificación. La cuenta corriente experimentó un déficit de 3</w:t>
      </w:r>
      <w:r>
        <w:rPr>
          <w:sz w:val="24"/>
          <w:szCs w:val="24"/>
          <w:lang w:val="es-PE"/>
        </w:rPr>
        <w:t>,</w:t>
      </w:r>
      <w:r w:rsidR="009F33C3" w:rsidRPr="00D068A6">
        <w:rPr>
          <w:sz w:val="24"/>
          <w:szCs w:val="24"/>
          <w:lang w:val="es-PE"/>
        </w:rPr>
        <w:t>8% del PBI en 2013, aunque el precio del cobre alcanzó un elevado promedio de US$3</w:t>
      </w:r>
      <w:r>
        <w:rPr>
          <w:sz w:val="24"/>
          <w:szCs w:val="24"/>
          <w:lang w:val="es-PE"/>
        </w:rPr>
        <w:t>,</w:t>
      </w:r>
      <w:r w:rsidR="009F33C3" w:rsidRPr="00D068A6">
        <w:rPr>
          <w:sz w:val="24"/>
          <w:szCs w:val="24"/>
          <w:lang w:val="es-PE"/>
        </w:rPr>
        <w:t>3</w:t>
      </w:r>
      <w:r w:rsidR="009F33C3">
        <w:rPr>
          <w:sz w:val="24"/>
          <w:szCs w:val="24"/>
          <w:lang w:val="es-PE"/>
        </w:rPr>
        <w:t>2</w:t>
      </w:r>
      <w:r w:rsidR="009F33C3" w:rsidRPr="00D068A6">
        <w:rPr>
          <w:sz w:val="24"/>
          <w:szCs w:val="24"/>
          <w:lang w:val="es-PE"/>
        </w:rPr>
        <w:t>/lb. Los rubros no tradicionales</w:t>
      </w:r>
      <w:r w:rsidR="009F33C3">
        <w:rPr>
          <w:sz w:val="24"/>
          <w:szCs w:val="24"/>
          <w:lang w:val="es-PE"/>
        </w:rPr>
        <w:t>,</w:t>
      </w:r>
      <w:r w:rsidR="009F33C3" w:rsidRPr="00D068A6">
        <w:rPr>
          <w:sz w:val="24"/>
          <w:szCs w:val="24"/>
          <w:lang w:val="es-PE"/>
        </w:rPr>
        <w:t xml:space="preserve"> que habían liderado el crecimiento de las exportaciones en las décadas exteriores</w:t>
      </w:r>
      <w:r w:rsidR="009F33C3">
        <w:rPr>
          <w:sz w:val="24"/>
          <w:szCs w:val="24"/>
          <w:lang w:val="es-PE"/>
        </w:rPr>
        <w:t>,</w:t>
      </w:r>
      <w:r w:rsidR="009F33C3" w:rsidRPr="00D068A6">
        <w:rPr>
          <w:sz w:val="24"/>
          <w:szCs w:val="24"/>
          <w:lang w:val="es-PE"/>
        </w:rPr>
        <w:t xml:space="preserve"> habían estado perdiendo velocidad (</w:t>
      </w:r>
      <w:r w:rsidR="009F33C3">
        <w:rPr>
          <w:sz w:val="24"/>
          <w:szCs w:val="24"/>
          <w:lang w:val="es-PE"/>
        </w:rPr>
        <w:t>v</w:t>
      </w:r>
      <w:r w:rsidR="009F33C3" w:rsidRPr="00D068A6">
        <w:rPr>
          <w:sz w:val="24"/>
          <w:szCs w:val="24"/>
          <w:lang w:val="es-PE"/>
        </w:rPr>
        <w:t>er Ffrench-Davis, 2016b, Cuadro 4). Más aún, hacia 2013, se exportaba</w:t>
      </w:r>
      <w:r w:rsidR="009F33C3">
        <w:rPr>
          <w:sz w:val="24"/>
          <w:szCs w:val="24"/>
          <w:lang w:val="es-PE"/>
        </w:rPr>
        <w:t>n</w:t>
      </w:r>
      <w:r w:rsidR="009F33C3" w:rsidRPr="00D068A6">
        <w:rPr>
          <w:sz w:val="24"/>
          <w:szCs w:val="24"/>
          <w:lang w:val="es-PE"/>
        </w:rPr>
        <w:t xml:space="preserve"> menos productos y había menos empresas exportadoras que </w:t>
      </w:r>
      <w:r w:rsidR="009F33C3">
        <w:rPr>
          <w:sz w:val="24"/>
          <w:szCs w:val="24"/>
          <w:lang w:val="es-PE"/>
        </w:rPr>
        <w:t xml:space="preserve">en </w:t>
      </w:r>
      <w:r w:rsidR="009F33C3" w:rsidRPr="00D068A6">
        <w:rPr>
          <w:sz w:val="24"/>
          <w:szCs w:val="24"/>
          <w:lang w:val="es-PE"/>
        </w:rPr>
        <w:t xml:space="preserve">2008. (Ver PROCHILE, 2016). Este hecho fue particularmente inesperado en vista de los numerosos acuerdos de libre comercio suscritos por Chile (DIRECON, 2016). Todos estos </w:t>
      </w:r>
      <w:r w:rsidR="009F33C3">
        <w:rPr>
          <w:sz w:val="24"/>
          <w:szCs w:val="24"/>
          <w:lang w:val="es-PE"/>
        </w:rPr>
        <w:t xml:space="preserve">antecedentes </w:t>
      </w:r>
      <w:r w:rsidR="009F33C3" w:rsidRPr="00D068A6">
        <w:rPr>
          <w:sz w:val="24"/>
          <w:szCs w:val="24"/>
          <w:lang w:val="es-PE"/>
        </w:rPr>
        <w:t xml:space="preserve">eran síntomas de una </w:t>
      </w:r>
      <w:r w:rsidR="009F33C3" w:rsidRPr="007825AE">
        <w:rPr>
          <w:i/>
          <w:sz w:val="24"/>
          <w:szCs w:val="24"/>
          <w:lang w:val="es-PE"/>
        </w:rPr>
        <w:t>enfermedad holandesa</w:t>
      </w:r>
      <w:r w:rsidR="009F33C3" w:rsidRPr="00D068A6">
        <w:rPr>
          <w:sz w:val="24"/>
          <w:szCs w:val="24"/>
          <w:lang w:val="es-PE"/>
        </w:rPr>
        <w:t xml:space="preserve"> de las exportaciones y mientras más tiempo durase, mayor sería el daño estructural que causaría. Hacia 2013, se evidenciaba la necesidad de una significativa</w:t>
      </w:r>
      <w:r w:rsidR="009F33C3">
        <w:rPr>
          <w:sz w:val="24"/>
          <w:szCs w:val="24"/>
          <w:lang w:val="es-PE"/>
        </w:rPr>
        <w:t xml:space="preserve"> y sostenida </w:t>
      </w:r>
      <w:r w:rsidR="009F33C3" w:rsidRPr="00D068A6">
        <w:rPr>
          <w:sz w:val="24"/>
          <w:szCs w:val="24"/>
          <w:lang w:val="es-PE"/>
        </w:rPr>
        <w:t xml:space="preserve">devaluación. </w:t>
      </w:r>
    </w:p>
    <w:p w14:paraId="5B3D9B67" w14:textId="05E15B9C" w:rsidR="00877F9B" w:rsidRPr="00D068A6" w:rsidRDefault="009F33C3" w:rsidP="009F33C3">
      <w:pPr>
        <w:tabs>
          <w:tab w:val="left" w:pos="7513"/>
        </w:tabs>
        <w:spacing w:line="360" w:lineRule="auto"/>
        <w:ind w:firstLine="708"/>
        <w:jc w:val="both"/>
        <w:rPr>
          <w:sz w:val="24"/>
          <w:szCs w:val="24"/>
          <w:lang w:val="es-PE"/>
        </w:rPr>
      </w:pPr>
      <w:r>
        <w:rPr>
          <w:sz w:val="24"/>
          <w:szCs w:val="24"/>
          <w:lang w:val="es-PE"/>
        </w:rPr>
        <w:t xml:space="preserve">Cuarto, </w:t>
      </w:r>
      <w:r w:rsidR="00010ADD" w:rsidRPr="00D068A6">
        <w:rPr>
          <w:sz w:val="24"/>
          <w:szCs w:val="24"/>
          <w:lang w:val="es-PE"/>
        </w:rPr>
        <w:t>en 2013 Chile dejó de ser el líder de</w:t>
      </w:r>
      <w:r w:rsidR="00BA4581">
        <w:rPr>
          <w:sz w:val="24"/>
          <w:szCs w:val="24"/>
          <w:lang w:val="es-PE"/>
        </w:rPr>
        <w:t>l</w:t>
      </w:r>
      <w:r w:rsidR="00010ADD" w:rsidRPr="00D068A6">
        <w:rPr>
          <w:sz w:val="24"/>
          <w:szCs w:val="24"/>
          <w:lang w:val="es-PE"/>
        </w:rPr>
        <w:t xml:space="preserve"> crecimiento de América Latina y cayó </w:t>
      </w:r>
      <w:r w:rsidR="00ED0323">
        <w:rPr>
          <w:sz w:val="24"/>
          <w:szCs w:val="24"/>
          <w:lang w:val="es-PE"/>
        </w:rPr>
        <w:t xml:space="preserve"> por </w:t>
      </w:r>
      <w:r w:rsidR="00010ADD" w:rsidRPr="00D068A6">
        <w:rPr>
          <w:sz w:val="24"/>
          <w:szCs w:val="24"/>
          <w:lang w:val="es-PE"/>
        </w:rPr>
        <w:t>debajo de la mitad de los países de la región</w:t>
      </w:r>
      <w:r w:rsidR="00877F9B" w:rsidRPr="00D068A6">
        <w:rPr>
          <w:sz w:val="24"/>
          <w:szCs w:val="24"/>
          <w:lang w:val="es-PE"/>
        </w:rPr>
        <w:t xml:space="preserve"> (</w:t>
      </w:r>
      <w:r w:rsidR="00010ADD" w:rsidRPr="00D068A6">
        <w:rPr>
          <w:sz w:val="24"/>
          <w:szCs w:val="24"/>
          <w:lang w:val="es-PE"/>
        </w:rPr>
        <w:t>CEPAL</w:t>
      </w:r>
      <w:r w:rsidR="00877F9B" w:rsidRPr="00D068A6">
        <w:rPr>
          <w:sz w:val="24"/>
          <w:szCs w:val="24"/>
          <w:lang w:val="es-PE"/>
        </w:rPr>
        <w:t xml:space="preserve">, 2015). </w:t>
      </w:r>
      <w:r w:rsidR="00010ADD" w:rsidRPr="00D068A6">
        <w:rPr>
          <w:sz w:val="24"/>
          <w:szCs w:val="24"/>
          <w:lang w:val="es-PE"/>
        </w:rPr>
        <w:t>Hacia</w:t>
      </w:r>
      <w:r w:rsidR="00877F9B" w:rsidRPr="00D068A6">
        <w:rPr>
          <w:sz w:val="24"/>
          <w:szCs w:val="24"/>
          <w:lang w:val="es-PE"/>
        </w:rPr>
        <w:t xml:space="preserve"> 2013, </w:t>
      </w:r>
      <w:r w:rsidR="00010ADD" w:rsidRPr="00D068A6">
        <w:rPr>
          <w:sz w:val="24"/>
          <w:szCs w:val="24"/>
          <w:lang w:val="es-PE"/>
        </w:rPr>
        <w:t xml:space="preserve">después de su significativa recuperación del contagio de la crisis global, la economía chilena operaba al máximo de su capacidad y por consiguiente, era inevitable que el crecimiento del PBI </w:t>
      </w:r>
      <w:r w:rsidR="00D417DA">
        <w:rPr>
          <w:sz w:val="24"/>
          <w:szCs w:val="24"/>
          <w:lang w:val="es-PE"/>
        </w:rPr>
        <w:t>efectivo</w:t>
      </w:r>
      <w:r w:rsidR="00010ADD" w:rsidRPr="00D068A6">
        <w:rPr>
          <w:sz w:val="24"/>
          <w:szCs w:val="24"/>
          <w:lang w:val="es-PE"/>
        </w:rPr>
        <w:t xml:space="preserve"> convergiese hacia el PBI tendencia</w:t>
      </w:r>
      <w:r w:rsidR="00D417DA">
        <w:rPr>
          <w:sz w:val="24"/>
          <w:szCs w:val="24"/>
          <w:lang w:val="es-PE"/>
        </w:rPr>
        <w:t>l</w:t>
      </w:r>
      <w:r w:rsidR="00010ADD" w:rsidRPr="00D068A6">
        <w:rPr>
          <w:sz w:val="24"/>
          <w:szCs w:val="24"/>
          <w:lang w:val="es-PE"/>
        </w:rPr>
        <w:t xml:space="preserve"> (</w:t>
      </w:r>
      <w:r w:rsidR="00ED0323">
        <w:rPr>
          <w:sz w:val="24"/>
          <w:szCs w:val="24"/>
          <w:lang w:val="es-PE"/>
        </w:rPr>
        <w:t xml:space="preserve">más cercano </w:t>
      </w:r>
      <w:r w:rsidR="00010ADD" w:rsidRPr="00D068A6">
        <w:rPr>
          <w:sz w:val="24"/>
          <w:szCs w:val="24"/>
          <w:lang w:val="es-PE"/>
        </w:rPr>
        <w:t xml:space="preserve">a </w:t>
      </w:r>
      <w:r w:rsidR="00ED0323">
        <w:rPr>
          <w:sz w:val="24"/>
          <w:szCs w:val="24"/>
          <w:lang w:val="es-PE"/>
        </w:rPr>
        <w:t>l</w:t>
      </w:r>
      <w:r w:rsidR="00010ADD" w:rsidRPr="00D068A6">
        <w:rPr>
          <w:sz w:val="24"/>
          <w:szCs w:val="24"/>
          <w:lang w:val="es-PE"/>
        </w:rPr>
        <w:t>a tasa efectiva de</w:t>
      </w:r>
      <w:r w:rsidR="00877F9B" w:rsidRPr="00D068A6">
        <w:rPr>
          <w:sz w:val="24"/>
          <w:szCs w:val="24"/>
          <w:lang w:val="es-PE"/>
        </w:rPr>
        <w:t xml:space="preserve"> 3</w:t>
      </w:r>
      <w:r w:rsidR="00010ADD" w:rsidRPr="00D068A6">
        <w:rPr>
          <w:sz w:val="24"/>
          <w:szCs w:val="24"/>
          <w:lang w:val="es-PE"/>
        </w:rPr>
        <w:t>,</w:t>
      </w:r>
      <w:r w:rsidR="00877F9B" w:rsidRPr="00D068A6">
        <w:rPr>
          <w:sz w:val="24"/>
          <w:szCs w:val="24"/>
          <w:lang w:val="es-PE"/>
        </w:rPr>
        <w:t xml:space="preserve">9% </w:t>
      </w:r>
      <w:r w:rsidR="00010ADD" w:rsidRPr="00D068A6">
        <w:rPr>
          <w:sz w:val="24"/>
          <w:szCs w:val="24"/>
          <w:lang w:val="es-PE"/>
        </w:rPr>
        <w:t>en</w:t>
      </w:r>
      <w:r w:rsidR="00877F9B" w:rsidRPr="00D068A6">
        <w:rPr>
          <w:sz w:val="24"/>
          <w:szCs w:val="24"/>
          <w:lang w:val="es-PE"/>
        </w:rPr>
        <w:t xml:space="preserve"> 1999-2013, </w:t>
      </w:r>
      <w:r w:rsidR="00010ADD" w:rsidRPr="00D068A6">
        <w:rPr>
          <w:sz w:val="24"/>
          <w:szCs w:val="24"/>
          <w:lang w:val="es-PE"/>
        </w:rPr>
        <w:t xml:space="preserve">en lugar de la tasa </w:t>
      </w:r>
      <w:r w:rsidR="00D417DA">
        <w:rPr>
          <w:sz w:val="24"/>
          <w:szCs w:val="24"/>
          <w:lang w:val="es-PE"/>
        </w:rPr>
        <w:t>efectiva</w:t>
      </w:r>
      <w:r w:rsidR="00010ADD" w:rsidRPr="00D068A6">
        <w:rPr>
          <w:sz w:val="24"/>
          <w:szCs w:val="24"/>
          <w:lang w:val="es-PE"/>
        </w:rPr>
        <w:t xml:space="preserve"> de</w:t>
      </w:r>
      <w:r w:rsidR="00877F9B" w:rsidRPr="00D068A6">
        <w:rPr>
          <w:sz w:val="24"/>
          <w:szCs w:val="24"/>
          <w:lang w:val="es-PE"/>
        </w:rPr>
        <w:t xml:space="preserve"> 5</w:t>
      </w:r>
      <w:r w:rsidR="00010ADD" w:rsidRPr="00D068A6">
        <w:rPr>
          <w:sz w:val="24"/>
          <w:szCs w:val="24"/>
          <w:lang w:val="es-PE"/>
        </w:rPr>
        <w:t>,</w:t>
      </w:r>
      <w:r w:rsidR="00877F9B" w:rsidRPr="00D068A6">
        <w:rPr>
          <w:sz w:val="24"/>
          <w:szCs w:val="24"/>
          <w:lang w:val="es-PE"/>
        </w:rPr>
        <w:t xml:space="preserve">3% </w:t>
      </w:r>
      <w:r w:rsidR="00010ADD" w:rsidRPr="00D068A6">
        <w:rPr>
          <w:sz w:val="24"/>
          <w:szCs w:val="24"/>
          <w:lang w:val="es-PE"/>
        </w:rPr>
        <w:t xml:space="preserve">durante la recuperación de </w:t>
      </w:r>
      <w:r w:rsidR="00877F9B" w:rsidRPr="00D068A6">
        <w:rPr>
          <w:sz w:val="24"/>
          <w:szCs w:val="24"/>
          <w:lang w:val="es-PE"/>
        </w:rPr>
        <w:t xml:space="preserve">2010-13). </w:t>
      </w:r>
      <w:r w:rsidR="00010ADD" w:rsidRPr="00D068A6">
        <w:rPr>
          <w:sz w:val="24"/>
          <w:szCs w:val="24"/>
          <w:lang w:val="es-PE"/>
        </w:rPr>
        <w:t>En vista de los ingredientes del cre</w:t>
      </w:r>
      <w:r w:rsidR="00E15BCB">
        <w:rPr>
          <w:sz w:val="24"/>
          <w:szCs w:val="24"/>
          <w:lang w:val="es-PE"/>
        </w:rPr>
        <w:t>cimiento que operaban en 2013</w:t>
      </w:r>
      <w:r w:rsidR="00A3699F">
        <w:rPr>
          <w:sz w:val="24"/>
          <w:szCs w:val="24"/>
          <w:lang w:val="es-PE"/>
        </w:rPr>
        <w:t xml:space="preserve"> </w:t>
      </w:r>
      <w:r w:rsidR="00E15BCB">
        <w:rPr>
          <w:sz w:val="24"/>
          <w:szCs w:val="24"/>
          <w:lang w:val="es-PE"/>
        </w:rPr>
        <w:t>es</w:t>
      </w:r>
      <w:r w:rsidR="00010ADD" w:rsidRPr="00D068A6">
        <w:rPr>
          <w:sz w:val="24"/>
          <w:szCs w:val="24"/>
          <w:lang w:val="es-PE"/>
        </w:rPr>
        <w:t xml:space="preserve">a tasa no </w:t>
      </w:r>
      <w:r w:rsidR="00D417DA">
        <w:rPr>
          <w:sz w:val="24"/>
          <w:szCs w:val="24"/>
          <w:lang w:val="es-PE"/>
        </w:rPr>
        <w:t>er</w:t>
      </w:r>
      <w:r w:rsidR="00010ADD" w:rsidRPr="00D068A6">
        <w:rPr>
          <w:sz w:val="24"/>
          <w:szCs w:val="24"/>
          <w:lang w:val="es-PE"/>
        </w:rPr>
        <w:t>a sostenible. En 2013, cuando la economía llegó a su frontera de producción, el crecimiento efectivamente disminuyó a 4,0% a</w:t>
      </w:r>
      <w:r w:rsidR="00D417DA">
        <w:rPr>
          <w:sz w:val="24"/>
          <w:szCs w:val="24"/>
          <w:lang w:val="es-PE"/>
        </w:rPr>
        <w:t>nual</w:t>
      </w:r>
      <w:r w:rsidR="00357368">
        <w:rPr>
          <w:sz w:val="24"/>
          <w:szCs w:val="24"/>
          <w:lang w:val="es-PE"/>
        </w:rPr>
        <w:t xml:space="preserve"> y a 3,</w:t>
      </w:r>
      <w:r w:rsidR="00E15BCB">
        <w:rPr>
          <w:sz w:val="24"/>
          <w:szCs w:val="24"/>
          <w:lang w:val="es-PE"/>
        </w:rPr>
        <w:t>0</w:t>
      </w:r>
      <w:r w:rsidR="00010ADD" w:rsidRPr="00D068A6">
        <w:rPr>
          <w:sz w:val="24"/>
          <w:szCs w:val="24"/>
          <w:lang w:val="es-PE"/>
        </w:rPr>
        <w:t>% en el último trimestre. La tasa de</w:t>
      </w:r>
      <w:r w:rsidR="00877F9B" w:rsidRPr="00D068A6">
        <w:rPr>
          <w:sz w:val="24"/>
          <w:szCs w:val="24"/>
          <w:lang w:val="es-PE"/>
        </w:rPr>
        <w:t xml:space="preserve"> 3</w:t>
      </w:r>
      <w:r w:rsidR="00010ADD" w:rsidRPr="00D068A6">
        <w:rPr>
          <w:sz w:val="24"/>
          <w:szCs w:val="24"/>
          <w:lang w:val="es-PE"/>
        </w:rPr>
        <w:t>,</w:t>
      </w:r>
      <w:r w:rsidR="00877F9B" w:rsidRPr="00D068A6">
        <w:rPr>
          <w:sz w:val="24"/>
          <w:szCs w:val="24"/>
          <w:lang w:val="es-PE"/>
        </w:rPr>
        <w:t xml:space="preserve">9% </w:t>
      </w:r>
      <w:r w:rsidR="00010ADD" w:rsidRPr="00D068A6">
        <w:rPr>
          <w:sz w:val="24"/>
          <w:szCs w:val="24"/>
          <w:lang w:val="es-PE"/>
        </w:rPr>
        <w:t xml:space="preserve">que se observó durante una década y media debió haber servido como advertencia de que había </w:t>
      </w:r>
      <w:r w:rsidR="00D417DA">
        <w:rPr>
          <w:sz w:val="24"/>
          <w:szCs w:val="24"/>
          <w:lang w:val="es-PE"/>
        </w:rPr>
        <w:t>algún factor</w:t>
      </w:r>
      <w:r w:rsidR="00010ADD" w:rsidRPr="00D068A6">
        <w:rPr>
          <w:sz w:val="24"/>
          <w:szCs w:val="24"/>
          <w:lang w:val="es-PE"/>
        </w:rPr>
        <w:t xml:space="preserve"> ausente </w:t>
      </w:r>
      <w:r w:rsidR="00D417DA">
        <w:rPr>
          <w:sz w:val="24"/>
          <w:szCs w:val="24"/>
          <w:lang w:val="es-PE"/>
        </w:rPr>
        <w:t>requerido para</w:t>
      </w:r>
      <w:r w:rsidR="00010ADD" w:rsidRPr="00D068A6">
        <w:rPr>
          <w:sz w:val="24"/>
          <w:szCs w:val="24"/>
          <w:lang w:val="es-PE"/>
        </w:rPr>
        <w:t xml:space="preserve"> recuperar </w:t>
      </w:r>
      <w:r w:rsidR="00E15BCB">
        <w:rPr>
          <w:sz w:val="24"/>
          <w:szCs w:val="24"/>
          <w:lang w:val="es-PE"/>
        </w:rPr>
        <w:t>un</w:t>
      </w:r>
      <w:r w:rsidR="00010ADD" w:rsidRPr="00D068A6">
        <w:rPr>
          <w:sz w:val="24"/>
          <w:szCs w:val="24"/>
          <w:lang w:val="es-PE"/>
        </w:rPr>
        <w:t xml:space="preserve"> crecimiento sostenido. </w:t>
      </w:r>
      <w:r w:rsidR="00877F9B" w:rsidRPr="00D068A6">
        <w:rPr>
          <w:sz w:val="24"/>
          <w:szCs w:val="24"/>
          <w:lang w:val="es-PE"/>
        </w:rPr>
        <w:t xml:space="preserve"> </w:t>
      </w:r>
    </w:p>
    <w:p w14:paraId="657F9B07" w14:textId="1DBF71C5" w:rsidR="00877F9B" w:rsidRPr="00D068A6" w:rsidRDefault="00ED0323" w:rsidP="00877F9B">
      <w:pPr>
        <w:spacing w:line="360" w:lineRule="auto"/>
        <w:ind w:firstLine="708"/>
        <w:jc w:val="both"/>
        <w:rPr>
          <w:sz w:val="24"/>
          <w:szCs w:val="24"/>
          <w:lang w:val="es-PE"/>
        </w:rPr>
      </w:pPr>
      <w:r>
        <w:rPr>
          <w:sz w:val="24"/>
          <w:szCs w:val="24"/>
          <w:lang w:val="es-PE"/>
        </w:rPr>
        <w:t>Quinto</w:t>
      </w:r>
      <w:r w:rsidR="00010ADD" w:rsidRPr="00D068A6">
        <w:rPr>
          <w:sz w:val="24"/>
          <w:szCs w:val="24"/>
          <w:lang w:val="es-PE"/>
        </w:rPr>
        <w:t xml:space="preserve">, la tasa </w:t>
      </w:r>
      <w:r w:rsidR="00C35022">
        <w:rPr>
          <w:sz w:val="24"/>
          <w:szCs w:val="24"/>
          <w:lang w:val="es-PE"/>
        </w:rPr>
        <w:t>de FBKF</w:t>
      </w:r>
      <w:r w:rsidR="00010ADD" w:rsidRPr="00D068A6">
        <w:rPr>
          <w:sz w:val="24"/>
          <w:szCs w:val="24"/>
          <w:lang w:val="es-PE"/>
        </w:rPr>
        <w:t xml:space="preserve"> parecía</w:t>
      </w:r>
      <w:r w:rsidR="00C35022">
        <w:rPr>
          <w:sz w:val="24"/>
          <w:szCs w:val="24"/>
          <w:lang w:val="es-PE"/>
        </w:rPr>
        <w:t xml:space="preserve"> ser más bien elevada en 2013, </w:t>
      </w:r>
      <w:r w:rsidR="00010ADD" w:rsidRPr="00D068A6">
        <w:rPr>
          <w:sz w:val="24"/>
          <w:szCs w:val="24"/>
          <w:lang w:val="es-PE"/>
        </w:rPr>
        <w:t>promedi</w:t>
      </w:r>
      <w:r w:rsidR="00E314BE">
        <w:rPr>
          <w:sz w:val="24"/>
          <w:szCs w:val="24"/>
          <w:lang w:val="es-PE"/>
        </w:rPr>
        <w:t>ando</w:t>
      </w:r>
      <w:r w:rsidR="00010ADD" w:rsidRPr="00D068A6">
        <w:rPr>
          <w:sz w:val="24"/>
          <w:szCs w:val="24"/>
          <w:lang w:val="es-PE"/>
        </w:rPr>
        <w:t xml:space="preserve"> </w:t>
      </w:r>
      <w:r w:rsidR="00E15BCB">
        <w:rPr>
          <w:sz w:val="24"/>
          <w:szCs w:val="24"/>
          <w:lang w:val="es-PE"/>
        </w:rPr>
        <w:t>el mencionado</w:t>
      </w:r>
      <w:r w:rsidR="00010ADD" w:rsidRPr="00D068A6">
        <w:rPr>
          <w:sz w:val="24"/>
          <w:szCs w:val="24"/>
          <w:lang w:val="es-PE"/>
        </w:rPr>
        <w:t xml:space="preserve"> 26,2%. Sin embargo, </w:t>
      </w:r>
      <w:r w:rsidR="00877F9B" w:rsidRPr="00D068A6">
        <w:rPr>
          <w:sz w:val="24"/>
          <w:szCs w:val="24"/>
          <w:lang w:val="es-PE"/>
        </w:rPr>
        <w:t xml:space="preserve">(i) </w:t>
      </w:r>
      <w:r w:rsidR="00010ADD" w:rsidRPr="00D068A6">
        <w:rPr>
          <w:sz w:val="24"/>
          <w:szCs w:val="24"/>
          <w:lang w:val="es-PE"/>
        </w:rPr>
        <w:t>se trata de una cifra bruta y</w:t>
      </w:r>
      <w:r w:rsidR="00C35022">
        <w:rPr>
          <w:sz w:val="24"/>
          <w:szCs w:val="24"/>
          <w:lang w:val="es-PE"/>
        </w:rPr>
        <w:t xml:space="preserve"> debido a que la depreciación aumentó</w:t>
      </w:r>
      <w:r w:rsidR="00010ADD" w:rsidRPr="00D068A6">
        <w:rPr>
          <w:sz w:val="24"/>
          <w:szCs w:val="24"/>
          <w:lang w:val="es-PE"/>
        </w:rPr>
        <w:t xml:space="preserve"> </w:t>
      </w:r>
      <w:r w:rsidR="00C35022">
        <w:rPr>
          <w:sz w:val="24"/>
          <w:szCs w:val="24"/>
          <w:lang w:val="es-PE"/>
        </w:rPr>
        <w:t>cerca de</w:t>
      </w:r>
      <w:r w:rsidR="00010ADD" w:rsidRPr="00D068A6">
        <w:rPr>
          <w:sz w:val="24"/>
          <w:szCs w:val="24"/>
          <w:lang w:val="es-PE"/>
        </w:rPr>
        <w:t xml:space="preserve"> 4 puntos porcentuales del PBI desde los años 90, </w:t>
      </w:r>
      <w:r w:rsidR="00E15BCB" w:rsidRPr="00D068A6">
        <w:rPr>
          <w:sz w:val="24"/>
          <w:szCs w:val="24"/>
          <w:lang w:val="es-PE"/>
        </w:rPr>
        <w:t xml:space="preserve">la inversión neta </w:t>
      </w:r>
      <w:r w:rsidR="00010ADD" w:rsidRPr="00D068A6">
        <w:rPr>
          <w:sz w:val="24"/>
          <w:szCs w:val="24"/>
          <w:lang w:val="es-PE"/>
        </w:rPr>
        <w:t xml:space="preserve">había </w:t>
      </w:r>
      <w:r w:rsidR="00010ADD" w:rsidRPr="00D068A6">
        <w:rPr>
          <w:sz w:val="24"/>
          <w:szCs w:val="24"/>
          <w:lang w:val="es-PE"/>
        </w:rPr>
        <w:lastRenderedPageBreak/>
        <w:t>disminuido, si bien de manera moderada;</w:t>
      </w:r>
      <w:r w:rsidR="00C73EC7" w:rsidRPr="00D068A6">
        <w:rPr>
          <w:sz w:val="24"/>
          <w:szCs w:val="24"/>
          <w:lang w:val="es-PE"/>
        </w:rPr>
        <w:t xml:space="preserve"> (ii) </w:t>
      </w:r>
      <w:r w:rsidR="00010ADD" w:rsidRPr="00D068A6">
        <w:rPr>
          <w:sz w:val="24"/>
          <w:szCs w:val="24"/>
          <w:lang w:val="es-PE"/>
        </w:rPr>
        <w:t xml:space="preserve">dicha tasa incluyó un significativo ciclo de inversiones en </w:t>
      </w:r>
      <w:r w:rsidR="00E314BE">
        <w:rPr>
          <w:sz w:val="24"/>
          <w:szCs w:val="24"/>
          <w:lang w:val="es-PE"/>
        </w:rPr>
        <w:t xml:space="preserve">la </w:t>
      </w:r>
      <w:r w:rsidR="00010ADD" w:rsidRPr="00D068A6">
        <w:rPr>
          <w:sz w:val="24"/>
          <w:szCs w:val="24"/>
          <w:lang w:val="es-PE"/>
        </w:rPr>
        <w:t>minería</w:t>
      </w:r>
      <w:r w:rsidR="00E314BE">
        <w:rPr>
          <w:sz w:val="24"/>
          <w:szCs w:val="24"/>
          <w:lang w:val="es-PE"/>
        </w:rPr>
        <w:t>,</w:t>
      </w:r>
      <w:r w:rsidR="00010ADD" w:rsidRPr="00D068A6">
        <w:rPr>
          <w:sz w:val="24"/>
          <w:szCs w:val="24"/>
          <w:lang w:val="es-PE"/>
        </w:rPr>
        <w:t xml:space="preserve"> que se inició en 2006 y </w:t>
      </w:r>
      <w:r w:rsidR="00C35022">
        <w:rPr>
          <w:sz w:val="24"/>
          <w:szCs w:val="24"/>
          <w:lang w:val="es-PE"/>
        </w:rPr>
        <w:t>se acerc</w:t>
      </w:r>
      <w:r w:rsidR="00010ADD" w:rsidRPr="00D068A6">
        <w:rPr>
          <w:sz w:val="24"/>
          <w:szCs w:val="24"/>
          <w:lang w:val="es-PE"/>
        </w:rPr>
        <w:t>ó a su fin en 2015</w:t>
      </w:r>
      <w:r w:rsidR="00C35022">
        <w:rPr>
          <w:sz w:val="24"/>
          <w:szCs w:val="24"/>
          <w:lang w:val="es-PE"/>
        </w:rPr>
        <w:t xml:space="preserve">; </w:t>
      </w:r>
      <w:r w:rsidR="00E314BE">
        <w:rPr>
          <w:sz w:val="24"/>
          <w:szCs w:val="24"/>
          <w:lang w:val="es-PE"/>
        </w:rPr>
        <w:t>su</w:t>
      </w:r>
      <w:r w:rsidR="00010ADD" w:rsidRPr="00D068A6">
        <w:rPr>
          <w:sz w:val="24"/>
          <w:szCs w:val="24"/>
          <w:lang w:val="es-PE"/>
        </w:rPr>
        <w:t xml:space="preserve"> proporción  en la formación </w:t>
      </w:r>
      <w:r w:rsidR="00E314BE">
        <w:rPr>
          <w:sz w:val="24"/>
          <w:szCs w:val="24"/>
          <w:lang w:val="es-PE"/>
        </w:rPr>
        <w:t xml:space="preserve">bruta </w:t>
      </w:r>
      <w:r w:rsidR="00010ADD" w:rsidRPr="00D068A6">
        <w:rPr>
          <w:sz w:val="24"/>
          <w:szCs w:val="24"/>
          <w:lang w:val="es-PE"/>
        </w:rPr>
        <w:t>de capital bruto</w:t>
      </w:r>
      <w:r w:rsidR="00877F9B" w:rsidRPr="00D068A6">
        <w:rPr>
          <w:sz w:val="24"/>
          <w:szCs w:val="24"/>
          <w:lang w:val="es-PE"/>
        </w:rPr>
        <w:t xml:space="preserve"> </w:t>
      </w:r>
      <w:r w:rsidR="00010ADD" w:rsidRPr="00D068A6">
        <w:rPr>
          <w:sz w:val="24"/>
          <w:szCs w:val="24"/>
          <w:lang w:val="es-PE"/>
        </w:rPr>
        <w:t>aumentó de</w:t>
      </w:r>
      <w:r w:rsidR="00E314BE">
        <w:rPr>
          <w:sz w:val="24"/>
          <w:szCs w:val="24"/>
          <w:lang w:val="es-PE"/>
        </w:rPr>
        <w:t>sde</w:t>
      </w:r>
      <w:r w:rsidR="00877F9B" w:rsidRPr="00D068A6">
        <w:rPr>
          <w:sz w:val="24"/>
          <w:szCs w:val="24"/>
          <w:lang w:val="es-PE"/>
        </w:rPr>
        <w:t xml:space="preserve"> 1</w:t>
      </w:r>
      <w:r w:rsidR="00CD55CA" w:rsidRPr="00D068A6">
        <w:rPr>
          <w:sz w:val="24"/>
          <w:szCs w:val="24"/>
          <w:lang w:val="es-PE"/>
        </w:rPr>
        <w:t>7</w:t>
      </w:r>
      <w:r w:rsidR="00877F9B" w:rsidRPr="00D068A6">
        <w:rPr>
          <w:sz w:val="24"/>
          <w:szCs w:val="24"/>
          <w:lang w:val="es-PE"/>
        </w:rPr>
        <w:t xml:space="preserve">% </w:t>
      </w:r>
      <w:r w:rsidR="00010ADD" w:rsidRPr="00D068A6">
        <w:rPr>
          <w:sz w:val="24"/>
          <w:szCs w:val="24"/>
          <w:lang w:val="es-PE"/>
        </w:rPr>
        <w:t>e</w:t>
      </w:r>
      <w:r w:rsidR="00CD55CA" w:rsidRPr="00D068A6">
        <w:rPr>
          <w:sz w:val="24"/>
          <w:szCs w:val="24"/>
          <w:lang w:val="es-PE"/>
        </w:rPr>
        <w:t xml:space="preserve">n 2007 </w:t>
      </w:r>
      <w:r w:rsidR="00010ADD" w:rsidRPr="00D068A6">
        <w:rPr>
          <w:sz w:val="24"/>
          <w:szCs w:val="24"/>
          <w:lang w:val="es-PE"/>
        </w:rPr>
        <w:t>a</w:t>
      </w:r>
      <w:r w:rsidR="00877F9B" w:rsidRPr="00D068A6">
        <w:rPr>
          <w:sz w:val="24"/>
          <w:szCs w:val="24"/>
          <w:lang w:val="es-PE"/>
        </w:rPr>
        <w:t xml:space="preserve"> 3</w:t>
      </w:r>
      <w:r w:rsidR="00CD55CA" w:rsidRPr="00D068A6">
        <w:rPr>
          <w:sz w:val="24"/>
          <w:szCs w:val="24"/>
          <w:lang w:val="es-PE"/>
        </w:rPr>
        <w:t>4</w:t>
      </w:r>
      <w:r w:rsidR="00877F9B" w:rsidRPr="00D068A6">
        <w:rPr>
          <w:sz w:val="24"/>
          <w:szCs w:val="24"/>
          <w:lang w:val="es-PE"/>
        </w:rPr>
        <w:t xml:space="preserve">% </w:t>
      </w:r>
      <w:r w:rsidR="00010ADD" w:rsidRPr="00D068A6">
        <w:rPr>
          <w:sz w:val="24"/>
          <w:szCs w:val="24"/>
          <w:lang w:val="es-PE"/>
        </w:rPr>
        <w:t>e</w:t>
      </w:r>
      <w:r w:rsidR="00877F9B" w:rsidRPr="00D068A6">
        <w:rPr>
          <w:sz w:val="24"/>
          <w:szCs w:val="24"/>
          <w:lang w:val="es-PE"/>
        </w:rPr>
        <w:t xml:space="preserve">n 2013; </w:t>
      </w:r>
      <w:r w:rsidR="00010ADD" w:rsidRPr="00D068A6">
        <w:rPr>
          <w:sz w:val="24"/>
          <w:szCs w:val="24"/>
          <w:lang w:val="es-PE"/>
        </w:rPr>
        <w:t>la mayor parte de la formación de capital en la minería se dirigió a compensar la aguda disminución de la calidad de l</w:t>
      </w:r>
      <w:r w:rsidR="00E314BE">
        <w:rPr>
          <w:sz w:val="24"/>
          <w:szCs w:val="24"/>
          <w:lang w:val="es-PE"/>
        </w:rPr>
        <w:t>o</w:t>
      </w:r>
      <w:r w:rsidR="00010ADD" w:rsidRPr="00D068A6">
        <w:rPr>
          <w:sz w:val="24"/>
          <w:szCs w:val="24"/>
          <w:lang w:val="es-PE"/>
        </w:rPr>
        <w:t xml:space="preserve">s </w:t>
      </w:r>
      <w:r w:rsidR="00E314BE">
        <w:rPr>
          <w:sz w:val="24"/>
          <w:szCs w:val="24"/>
          <w:lang w:val="es-PE"/>
        </w:rPr>
        <w:t xml:space="preserve">yacimientos </w:t>
      </w:r>
      <w:r w:rsidR="00010ADD" w:rsidRPr="00D068A6">
        <w:rPr>
          <w:sz w:val="24"/>
          <w:szCs w:val="24"/>
          <w:lang w:val="es-PE"/>
        </w:rPr>
        <w:t>min</w:t>
      </w:r>
      <w:r w:rsidR="00E314BE">
        <w:rPr>
          <w:sz w:val="24"/>
          <w:szCs w:val="24"/>
          <w:lang w:val="es-PE"/>
        </w:rPr>
        <w:t>eros</w:t>
      </w:r>
      <w:r w:rsidR="00010ADD" w:rsidRPr="00D068A6">
        <w:rPr>
          <w:sz w:val="24"/>
          <w:szCs w:val="24"/>
          <w:lang w:val="es-PE"/>
        </w:rPr>
        <w:t xml:space="preserve"> (lo que </w:t>
      </w:r>
      <w:r w:rsidR="00E314BE">
        <w:rPr>
          <w:sz w:val="24"/>
          <w:szCs w:val="24"/>
          <w:lang w:val="es-PE"/>
        </w:rPr>
        <w:t xml:space="preserve">se </w:t>
      </w:r>
      <w:r w:rsidR="00010ADD" w:rsidRPr="00D068A6">
        <w:rPr>
          <w:sz w:val="24"/>
          <w:szCs w:val="24"/>
          <w:lang w:val="es-PE"/>
        </w:rPr>
        <w:t xml:space="preserve">reflejaba </w:t>
      </w:r>
      <w:r w:rsidR="00E314BE">
        <w:rPr>
          <w:sz w:val="24"/>
          <w:szCs w:val="24"/>
          <w:lang w:val="es-PE"/>
        </w:rPr>
        <w:t xml:space="preserve">en </w:t>
      </w:r>
      <w:r w:rsidR="00010ADD" w:rsidRPr="00D068A6">
        <w:rPr>
          <w:sz w:val="24"/>
          <w:szCs w:val="24"/>
          <w:lang w:val="es-PE"/>
        </w:rPr>
        <w:t>una disminución de la</w:t>
      </w:r>
      <w:r w:rsidR="00E314BE">
        <w:rPr>
          <w:sz w:val="24"/>
          <w:szCs w:val="24"/>
          <w:lang w:val="es-PE"/>
        </w:rPr>
        <w:t xml:space="preserve"> medición tradicional de la</w:t>
      </w:r>
      <w:r w:rsidR="00010ADD" w:rsidRPr="00D068A6">
        <w:rPr>
          <w:sz w:val="24"/>
          <w:szCs w:val="24"/>
          <w:lang w:val="es-PE"/>
        </w:rPr>
        <w:t xml:space="preserve"> </w:t>
      </w:r>
      <w:r w:rsidR="00E15BCB">
        <w:rPr>
          <w:sz w:val="24"/>
          <w:szCs w:val="24"/>
          <w:lang w:val="es-PE"/>
        </w:rPr>
        <w:t>PTF</w:t>
      </w:r>
      <w:r w:rsidR="00010ADD" w:rsidRPr="00D068A6">
        <w:rPr>
          <w:sz w:val="24"/>
          <w:szCs w:val="24"/>
          <w:lang w:val="es-PE"/>
        </w:rPr>
        <w:t>)</w:t>
      </w:r>
      <w:r w:rsidR="00C73EC7" w:rsidRPr="00D068A6">
        <w:rPr>
          <w:sz w:val="24"/>
          <w:szCs w:val="24"/>
          <w:lang w:val="es-PE"/>
        </w:rPr>
        <w:t>.</w:t>
      </w:r>
      <w:r w:rsidR="00877F9B" w:rsidRPr="00D068A6">
        <w:rPr>
          <w:sz w:val="24"/>
          <w:szCs w:val="24"/>
          <w:lang w:val="es-PE"/>
        </w:rPr>
        <w:t xml:space="preserve"> (iii) </w:t>
      </w:r>
      <w:r w:rsidR="00010ADD" w:rsidRPr="00D068A6">
        <w:rPr>
          <w:sz w:val="24"/>
          <w:szCs w:val="24"/>
          <w:lang w:val="es-PE"/>
        </w:rPr>
        <w:t>La tasa de</w:t>
      </w:r>
      <w:r w:rsidR="00877F9B" w:rsidRPr="00D068A6">
        <w:rPr>
          <w:sz w:val="24"/>
          <w:szCs w:val="24"/>
          <w:lang w:val="es-PE"/>
        </w:rPr>
        <w:t xml:space="preserve"> 26</w:t>
      </w:r>
      <w:r w:rsidR="00010ADD" w:rsidRPr="00D068A6">
        <w:rPr>
          <w:sz w:val="24"/>
          <w:szCs w:val="24"/>
          <w:lang w:val="es-PE"/>
        </w:rPr>
        <w:t>,</w:t>
      </w:r>
      <w:r w:rsidR="00877F9B" w:rsidRPr="00D068A6">
        <w:rPr>
          <w:sz w:val="24"/>
          <w:szCs w:val="24"/>
          <w:lang w:val="es-PE"/>
        </w:rPr>
        <w:t>2</w:t>
      </w:r>
      <w:r w:rsidR="00010ADD" w:rsidRPr="00D068A6">
        <w:rPr>
          <w:sz w:val="24"/>
          <w:szCs w:val="24"/>
          <w:lang w:val="es-PE"/>
        </w:rPr>
        <w:t>%</w:t>
      </w:r>
      <w:r w:rsidR="00877F9B" w:rsidRPr="00D068A6">
        <w:rPr>
          <w:sz w:val="24"/>
          <w:szCs w:val="24"/>
          <w:lang w:val="es-PE"/>
        </w:rPr>
        <w:t xml:space="preserve"> </w:t>
      </w:r>
      <w:r w:rsidR="00010ADD" w:rsidRPr="00D068A6">
        <w:rPr>
          <w:sz w:val="24"/>
          <w:szCs w:val="24"/>
          <w:lang w:val="es-PE"/>
        </w:rPr>
        <w:t xml:space="preserve">se mide en precios </w:t>
      </w:r>
      <w:r w:rsidR="006678BE">
        <w:rPr>
          <w:sz w:val="24"/>
          <w:szCs w:val="24"/>
          <w:lang w:val="es-PE"/>
        </w:rPr>
        <w:t>constantes (</w:t>
      </w:r>
      <w:r w:rsidR="00010ADD" w:rsidRPr="00D068A6">
        <w:rPr>
          <w:sz w:val="24"/>
          <w:szCs w:val="24"/>
          <w:lang w:val="es-PE"/>
        </w:rPr>
        <w:t>encadenados a</w:t>
      </w:r>
      <w:r w:rsidR="006678BE">
        <w:rPr>
          <w:sz w:val="24"/>
          <w:szCs w:val="24"/>
          <w:lang w:val="es-PE"/>
        </w:rPr>
        <w:t xml:space="preserve"> la base</w:t>
      </w:r>
      <w:r w:rsidR="00877F9B" w:rsidRPr="00D068A6">
        <w:rPr>
          <w:sz w:val="24"/>
          <w:szCs w:val="24"/>
          <w:lang w:val="es-PE"/>
        </w:rPr>
        <w:t xml:space="preserve"> 2008</w:t>
      </w:r>
      <w:r w:rsidR="006678BE">
        <w:rPr>
          <w:sz w:val="24"/>
          <w:szCs w:val="24"/>
          <w:lang w:val="es-PE"/>
        </w:rPr>
        <w:t>)</w:t>
      </w:r>
      <w:r w:rsidR="00010ADD" w:rsidRPr="00D068A6">
        <w:rPr>
          <w:sz w:val="24"/>
          <w:szCs w:val="24"/>
          <w:lang w:val="es-PE"/>
        </w:rPr>
        <w:t xml:space="preserve">; en precios </w:t>
      </w:r>
      <w:r w:rsidR="006678BE">
        <w:rPr>
          <w:sz w:val="24"/>
          <w:szCs w:val="24"/>
          <w:lang w:val="es-PE"/>
        </w:rPr>
        <w:t>corrientes</w:t>
      </w:r>
      <w:r w:rsidR="00010ADD" w:rsidRPr="00D068A6">
        <w:rPr>
          <w:sz w:val="24"/>
          <w:szCs w:val="24"/>
          <w:lang w:val="es-PE"/>
        </w:rPr>
        <w:t xml:space="preserve"> de 2013, la tasa cae a 23,8%</w:t>
      </w:r>
      <w:r w:rsidR="00877F9B" w:rsidRPr="00D068A6">
        <w:rPr>
          <w:sz w:val="24"/>
          <w:szCs w:val="24"/>
          <w:lang w:val="es-PE"/>
        </w:rPr>
        <w:t>,</w:t>
      </w:r>
      <w:r w:rsidR="00010ADD" w:rsidRPr="00D068A6">
        <w:rPr>
          <w:sz w:val="24"/>
          <w:szCs w:val="24"/>
          <w:lang w:val="es-PE"/>
        </w:rPr>
        <w:t xml:space="preserve"> </w:t>
      </w:r>
      <w:r w:rsidR="00E314BE">
        <w:rPr>
          <w:sz w:val="24"/>
          <w:szCs w:val="24"/>
          <w:lang w:val="es-PE"/>
        </w:rPr>
        <w:t>cifra que</w:t>
      </w:r>
      <w:r w:rsidR="00010ADD" w:rsidRPr="00D068A6">
        <w:rPr>
          <w:sz w:val="24"/>
          <w:szCs w:val="24"/>
          <w:lang w:val="es-PE"/>
        </w:rPr>
        <w:t xml:space="preserve"> refleja el esfuerzo de financiamiento realizado por los inversionistas. </w:t>
      </w:r>
      <w:r w:rsidR="00E314BE">
        <w:rPr>
          <w:sz w:val="24"/>
          <w:szCs w:val="24"/>
          <w:lang w:val="es-PE"/>
        </w:rPr>
        <w:t>En cambio,</w:t>
      </w:r>
      <w:r w:rsidR="00010ADD" w:rsidRPr="00D068A6">
        <w:rPr>
          <w:sz w:val="24"/>
          <w:szCs w:val="24"/>
          <w:lang w:val="es-PE"/>
        </w:rPr>
        <w:t xml:space="preserve"> la cifra anterior mide la capacidad adquisitiva en términos reales, medida por el Banco Central. Las tasas son tan diferentes debido a que las Cuentas Nacionales estiman que los precios de los bienes de capital </w:t>
      </w:r>
      <w:r w:rsidR="00D068A6" w:rsidRPr="00D068A6">
        <w:rPr>
          <w:sz w:val="24"/>
          <w:szCs w:val="24"/>
          <w:lang w:val="es-PE"/>
        </w:rPr>
        <w:t>disminuyeron</w:t>
      </w:r>
      <w:r w:rsidR="00010ADD" w:rsidRPr="00D068A6">
        <w:rPr>
          <w:sz w:val="24"/>
          <w:szCs w:val="24"/>
          <w:lang w:val="es-PE"/>
        </w:rPr>
        <w:t xml:space="preserve"> c</w:t>
      </w:r>
      <w:r w:rsidR="00E314BE">
        <w:rPr>
          <w:sz w:val="24"/>
          <w:szCs w:val="24"/>
          <w:lang w:val="es-PE"/>
        </w:rPr>
        <w:t>erca de</w:t>
      </w:r>
      <w:r w:rsidR="00877F9B" w:rsidRPr="00D068A6">
        <w:rPr>
          <w:sz w:val="24"/>
          <w:szCs w:val="24"/>
          <w:lang w:val="es-PE"/>
        </w:rPr>
        <w:t xml:space="preserve"> 1</w:t>
      </w:r>
      <w:r w:rsidR="00F47AB2" w:rsidRPr="00D068A6">
        <w:rPr>
          <w:sz w:val="24"/>
          <w:szCs w:val="24"/>
          <w:lang w:val="es-PE"/>
        </w:rPr>
        <w:t xml:space="preserve">0% </w:t>
      </w:r>
      <w:r w:rsidR="00010ADD" w:rsidRPr="00D068A6">
        <w:rPr>
          <w:sz w:val="24"/>
          <w:szCs w:val="24"/>
          <w:lang w:val="es-PE"/>
        </w:rPr>
        <w:t>entre</w:t>
      </w:r>
      <w:r w:rsidR="00F47AB2" w:rsidRPr="00D068A6">
        <w:rPr>
          <w:sz w:val="24"/>
          <w:szCs w:val="24"/>
          <w:lang w:val="es-PE"/>
        </w:rPr>
        <w:t xml:space="preserve"> 2008 </w:t>
      </w:r>
      <w:r w:rsidR="00010ADD" w:rsidRPr="00D068A6">
        <w:rPr>
          <w:sz w:val="24"/>
          <w:szCs w:val="24"/>
          <w:lang w:val="es-PE"/>
        </w:rPr>
        <w:t>y</w:t>
      </w:r>
      <w:r w:rsidR="00F47AB2" w:rsidRPr="00D068A6">
        <w:rPr>
          <w:sz w:val="24"/>
          <w:szCs w:val="24"/>
          <w:lang w:val="es-PE"/>
        </w:rPr>
        <w:t xml:space="preserve"> 2013. (iv)</w:t>
      </w:r>
      <w:r w:rsidR="00CF223F" w:rsidRPr="00D068A6">
        <w:rPr>
          <w:sz w:val="24"/>
          <w:szCs w:val="24"/>
          <w:lang w:val="es-PE"/>
        </w:rPr>
        <w:t xml:space="preserve"> </w:t>
      </w:r>
      <w:r w:rsidR="00010ADD" w:rsidRPr="00D068A6">
        <w:rPr>
          <w:sz w:val="24"/>
          <w:szCs w:val="24"/>
          <w:lang w:val="es-PE"/>
        </w:rPr>
        <w:t>En el segundo semestre de</w:t>
      </w:r>
      <w:r w:rsidR="00877F9B" w:rsidRPr="00D068A6">
        <w:rPr>
          <w:sz w:val="24"/>
          <w:szCs w:val="24"/>
          <w:lang w:val="es-PE"/>
        </w:rPr>
        <w:t xml:space="preserve"> 2013, </w:t>
      </w:r>
      <w:r w:rsidR="00010ADD" w:rsidRPr="00D068A6">
        <w:rPr>
          <w:sz w:val="24"/>
          <w:szCs w:val="24"/>
          <w:lang w:val="es-PE"/>
        </w:rPr>
        <w:t>la inversión bruta disminuyó</w:t>
      </w:r>
      <w:r w:rsidR="00877F9B" w:rsidRPr="00D068A6">
        <w:rPr>
          <w:sz w:val="24"/>
          <w:szCs w:val="24"/>
          <w:lang w:val="es-PE"/>
        </w:rPr>
        <w:t xml:space="preserve"> </w:t>
      </w:r>
      <w:r w:rsidR="00CD55CA" w:rsidRPr="00D068A6">
        <w:rPr>
          <w:sz w:val="24"/>
          <w:szCs w:val="24"/>
          <w:lang w:val="es-PE"/>
        </w:rPr>
        <w:t>9</w:t>
      </w:r>
      <w:r w:rsidR="00877F9B" w:rsidRPr="00D068A6">
        <w:rPr>
          <w:sz w:val="24"/>
          <w:szCs w:val="24"/>
          <w:lang w:val="es-PE"/>
        </w:rPr>
        <w:t xml:space="preserve">% </w:t>
      </w:r>
      <w:r w:rsidR="00010ADD" w:rsidRPr="00D068A6">
        <w:rPr>
          <w:sz w:val="24"/>
          <w:szCs w:val="24"/>
          <w:lang w:val="es-PE"/>
        </w:rPr>
        <w:t xml:space="preserve">en términos reales, con lo que realizó un aporte negativo </w:t>
      </w:r>
      <w:r w:rsidR="00E15BCB">
        <w:rPr>
          <w:sz w:val="24"/>
          <w:szCs w:val="24"/>
          <w:lang w:val="es-PE"/>
        </w:rPr>
        <w:t>adicional</w:t>
      </w:r>
      <w:r w:rsidR="00010ADD" w:rsidRPr="00D068A6">
        <w:rPr>
          <w:sz w:val="24"/>
          <w:szCs w:val="24"/>
          <w:lang w:val="es-PE"/>
        </w:rPr>
        <w:t xml:space="preserve"> a</w:t>
      </w:r>
      <w:r w:rsidR="006678BE">
        <w:rPr>
          <w:sz w:val="24"/>
          <w:szCs w:val="24"/>
          <w:lang w:val="es-PE"/>
        </w:rPr>
        <w:t>centuando</w:t>
      </w:r>
      <w:r w:rsidR="00010ADD" w:rsidRPr="00D068A6">
        <w:rPr>
          <w:sz w:val="24"/>
          <w:szCs w:val="24"/>
          <w:lang w:val="es-PE"/>
        </w:rPr>
        <w:t xml:space="preserve"> la desaceleración de la actividad económica que se inició dicho año. </w:t>
      </w:r>
      <w:r w:rsidR="00CF223F" w:rsidRPr="00D068A6">
        <w:rPr>
          <w:sz w:val="24"/>
          <w:szCs w:val="24"/>
          <w:lang w:val="es-PE"/>
        </w:rPr>
        <w:t xml:space="preserve"> </w:t>
      </w:r>
    </w:p>
    <w:p w14:paraId="4C1D2DF6" w14:textId="179888C7" w:rsidR="006964DF" w:rsidRPr="00D068A6" w:rsidRDefault="006678BE" w:rsidP="00877F9B">
      <w:pPr>
        <w:spacing w:line="360" w:lineRule="auto"/>
        <w:ind w:firstLine="708"/>
        <w:jc w:val="both"/>
        <w:rPr>
          <w:sz w:val="24"/>
          <w:szCs w:val="24"/>
          <w:lang w:val="es-PE"/>
        </w:rPr>
      </w:pPr>
      <w:r>
        <w:rPr>
          <w:sz w:val="24"/>
          <w:szCs w:val="24"/>
          <w:lang w:val="es-PE"/>
        </w:rPr>
        <w:t>E</w:t>
      </w:r>
      <w:r w:rsidR="00010ADD" w:rsidRPr="00D068A6">
        <w:rPr>
          <w:sz w:val="24"/>
          <w:szCs w:val="24"/>
          <w:lang w:val="es-PE"/>
        </w:rPr>
        <w:t>l ciclo de inversiones en minería no presenta un comportamiento excepcional sino más bien común durante los ciclos</w:t>
      </w:r>
      <w:r w:rsidR="00213769">
        <w:rPr>
          <w:sz w:val="24"/>
          <w:szCs w:val="24"/>
          <w:lang w:val="es-PE"/>
        </w:rPr>
        <w:t xml:space="preserve"> prolongados</w:t>
      </w:r>
      <w:r w:rsidR="00010ADD" w:rsidRPr="00D068A6">
        <w:rPr>
          <w:sz w:val="24"/>
          <w:szCs w:val="24"/>
          <w:lang w:val="es-PE"/>
        </w:rPr>
        <w:t xml:space="preserve"> de precios. </w:t>
      </w:r>
      <w:r w:rsidR="00213769">
        <w:rPr>
          <w:sz w:val="24"/>
          <w:szCs w:val="24"/>
          <w:lang w:val="es-PE"/>
        </w:rPr>
        <w:t>L</w:t>
      </w:r>
      <w:r w:rsidR="00010ADD" w:rsidRPr="00D068A6">
        <w:rPr>
          <w:sz w:val="24"/>
          <w:szCs w:val="24"/>
          <w:lang w:val="es-PE"/>
        </w:rPr>
        <w:t xml:space="preserve">a evolución </w:t>
      </w:r>
      <w:r w:rsidR="00213769">
        <w:rPr>
          <w:sz w:val="24"/>
          <w:szCs w:val="24"/>
          <w:lang w:val="es-PE"/>
        </w:rPr>
        <w:t xml:space="preserve">de la FBKF </w:t>
      </w:r>
      <w:r w:rsidR="00010ADD" w:rsidRPr="00D068A6">
        <w:rPr>
          <w:sz w:val="24"/>
          <w:szCs w:val="24"/>
          <w:lang w:val="es-PE"/>
        </w:rPr>
        <w:t xml:space="preserve">tiende a estar asociada a los ciclos largos de precios. Por ejemplo, cuando el precio empieza a aumentar y genera expectativas de persistencia, las </w:t>
      </w:r>
      <w:r w:rsidR="00213769">
        <w:rPr>
          <w:sz w:val="24"/>
          <w:szCs w:val="24"/>
          <w:lang w:val="es-PE"/>
        </w:rPr>
        <w:t>elevadas</w:t>
      </w:r>
      <w:r w:rsidR="00010ADD" w:rsidRPr="00D068A6">
        <w:rPr>
          <w:sz w:val="24"/>
          <w:szCs w:val="24"/>
          <w:lang w:val="es-PE"/>
        </w:rPr>
        <w:t xml:space="preserve"> utilidades tienden a ser reinvertidas </w:t>
      </w:r>
      <w:r w:rsidR="00213769">
        <w:rPr>
          <w:sz w:val="24"/>
          <w:szCs w:val="24"/>
          <w:lang w:val="es-PE"/>
        </w:rPr>
        <w:t xml:space="preserve">crecientemente </w:t>
      </w:r>
      <w:r w:rsidR="00010ADD" w:rsidRPr="00D068A6">
        <w:rPr>
          <w:sz w:val="24"/>
          <w:szCs w:val="24"/>
          <w:lang w:val="es-PE"/>
        </w:rPr>
        <w:t xml:space="preserve">para financiar inversiones considerables </w:t>
      </w:r>
      <w:r>
        <w:rPr>
          <w:sz w:val="24"/>
          <w:szCs w:val="24"/>
          <w:lang w:val="es-PE"/>
        </w:rPr>
        <w:t>que se caracterizan por su</w:t>
      </w:r>
      <w:r w:rsidR="00010ADD" w:rsidRPr="00D068A6">
        <w:rPr>
          <w:sz w:val="24"/>
          <w:szCs w:val="24"/>
          <w:lang w:val="es-PE"/>
        </w:rPr>
        <w:t xml:space="preserve"> maduración a largo plazo, por ejemplo, de 6 u 8 años. Mientras más dure el aumento del precio, más intensa será la generación de capacidad productiva adicional a lo que naturalmente sigue una significativa caída de los precios, utilidades y reinversiones a futuro. Mientras más sobre-optimista sea el estimado de la tendencia de precios, mayor será el </w:t>
      </w:r>
      <w:r w:rsidR="00E0758D">
        <w:rPr>
          <w:sz w:val="24"/>
          <w:szCs w:val="24"/>
          <w:lang w:val="es-PE"/>
        </w:rPr>
        <w:t xml:space="preserve">sobre-ajuste </w:t>
      </w:r>
      <w:r w:rsidR="00010ADD" w:rsidRPr="00D068A6">
        <w:rPr>
          <w:sz w:val="24"/>
          <w:szCs w:val="24"/>
          <w:lang w:val="es-PE"/>
        </w:rPr>
        <w:t xml:space="preserve">a la baja de los precios así como la </w:t>
      </w:r>
      <w:r w:rsidR="006964DF" w:rsidRPr="00D068A6">
        <w:rPr>
          <w:sz w:val="24"/>
          <w:szCs w:val="24"/>
          <w:lang w:val="es-PE"/>
        </w:rPr>
        <w:t xml:space="preserve">tendencia a la </w:t>
      </w:r>
      <w:r w:rsidR="00010ADD" w:rsidRPr="00D068A6">
        <w:rPr>
          <w:sz w:val="24"/>
          <w:szCs w:val="24"/>
          <w:lang w:val="es-PE"/>
        </w:rPr>
        <w:t xml:space="preserve">caída de las utilidades y </w:t>
      </w:r>
      <w:r w:rsidR="00E15BCB">
        <w:rPr>
          <w:sz w:val="24"/>
          <w:szCs w:val="24"/>
          <w:lang w:val="es-PE"/>
        </w:rPr>
        <w:t xml:space="preserve">de la </w:t>
      </w:r>
      <w:r w:rsidR="006964DF" w:rsidRPr="00D068A6">
        <w:rPr>
          <w:sz w:val="24"/>
          <w:szCs w:val="24"/>
          <w:lang w:val="es-PE"/>
        </w:rPr>
        <w:t xml:space="preserve">formación de capital. </w:t>
      </w:r>
    </w:p>
    <w:p w14:paraId="22470AFA" w14:textId="33937AE0" w:rsidR="00877F9B" w:rsidRPr="00D068A6" w:rsidRDefault="00877F9B" w:rsidP="00877F9B">
      <w:pPr>
        <w:spacing w:line="360" w:lineRule="auto"/>
        <w:jc w:val="both"/>
        <w:rPr>
          <w:sz w:val="24"/>
          <w:szCs w:val="24"/>
          <w:lang w:val="es-PE"/>
        </w:rPr>
      </w:pPr>
      <w:r w:rsidRPr="00D068A6">
        <w:rPr>
          <w:sz w:val="24"/>
          <w:szCs w:val="24"/>
          <w:lang w:val="es-PE"/>
        </w:rPr>
        <w:t xml:space="preserve"> </w:t>
      </w:r>
      <w:r w:rsidRPr="00D068A6">
        <w:rPr>
          <w:sz w:val="24"/>
          <w:szCs w:val="24"/>
          <w:lang w:val="es-PE"/>
        </w:rPr>
        <w:tab/>
      </w:r>
      <w:r w:rsidR="00A131B2">
        <w:rPr>
          <w:sz w:val="24"/>
          <w:szCs w:val="24"/>
          <w:lang w:val="es-PE"/>
        </w:rPr>
        <w:t>S</w:t>
      </w:r>
      <w:r w:rsidR="00045859" w:rsidRPr="00D068A6">
        <w:rPr>
          <w:sz w:val="24"/>
          <w:szCs w:val="24"/>
          <w:lang w:val="es-PE"/>
        </w:rPr>
        <w:t xml:space="preserve">exto, la deuda externa privada se incrementó </w:t>
      </w:r>
      <w:r w:rsidRPr="00D068A6">
        <w:rPr>
          <w:sz w:val="24"/>
          <w:szCs w:val="24"/>
          <w:lang w:val="es-PE"/>
        </w:rPr>
        <w:t xml:space="preserve">109% </w:t>
      </w:r>
      <w:r w:rsidR="00045859" w:rsidRPr="00D068A6">
        <w:rPr>
          <w:sz w:val="24"/>
          <w:szCs w:val="24"/>
          <w:lang w:val="es-PE"/>
        </w:rPr>
        <w:t>entre</w:t>
      </w:r>
      <w:r w:rsidRPr="00D068A6">
        <w:rPr>
          <w:sz w:val="24"/>
          <w:szCs w:val="24"/>
          <w:lang w:val="es-PE"/>
        </w:rPr>
        <w:t xml:space="preserve"> 2007 </w:t>
      </w:r>
      <w:r w:rsidR="00045859" w:rsidRPr="00D068A6">
        <w:rPr>
          <w:sz w:val="24"/>
          <w:szCs w:val="24"/>
          <w:lang w:val="es-PE"/>
        </w:rPr>
        <w:t>y</w:t>
      </w:r>
      <w:r w:rsidRPr="00D068A6">
        <w:rPr>
          <w:sz w:val="24"/>
          <w:szCs w:val="24"/>
          <w:lang w:val="es-PE"/>
        </w:rPr>
        <w:t xml:space="preserve"> 2013 </w:t>
      </w:r>
      <w:r w:rsidR="00045859" w:rsidRPr="00D068A6">
        <w:rPr>
          <w:sz w:val="24"/>
          <w:szCs w:val="24"/>
          <w:lang w:val="es-PE"/>
        </w:rPr>
        <w:t>en comparación con el aumento de</w:t>
      </w:r>
      <w:r w:rsidRPr="00D068A6">
        <w:rPr>
          <w:sz w:val="24"/>
          <w:szCs w:val="24"/>
          <w:lang w:val="es-PE"/>
        </w:rPr>
        <w:t xml:space="preserve"> 26% </w:t>
      </w:r>
      <w:r w:rsidR="00045859" w:rsidRPr="00D068A6">
        <w:rPr>
          <w:sz w:val="24"/>
          <w:szCs w:val="24"/>
          <w:lang w:val="es-PE"/>
        </w:rPr>
        <w:t>del PBI</w:t>
      </w:r>
      <w:r w:rsidRPr="00D068A6">
        <w:rPr>
          <w:sz w:val="24"/>
          <w:szCs w:val="24"/>
          <w:lang w:val="es-PE"/>
        </w:rPr>
        <w:t>.</w:t>
      </w:r>
      <w:r w:rsidR="00045859" w:rsidRPr="00D068A6">
        <w:rPr>
          <w:sz w:val="24"/>
          <w:szCs w:val="24"/>
          <w:lang w:val="es-PE"/>
        </w:rPr>
        <w:t xml:space="preserve"> Aproximadamente</w:t>
      </w:r>
      <w:r w:rsidR="004B402E">
        <w:rPr>
          <w:sz w:val="24"/>
          <w:szCs w:val="24"/>
          <w:lang w:val="es-PE"/>
        </w:rPr>
        <w:t xml:space="preserve"> el</w:t>
      </w:r>
      <w:r w:rsidR="00045859" w:rsidRPr="00D068A6">
        <w:rPr>
          <w:sz w:val="24"/>
          <w:szCs w:val="24"/>
          <w:lang w:val="es-PE"/>
        </w:rPr>
        <w:t xml:space="preserve"> 90% de la deuda total correspondía al sector privado</w:t>
      </w:r>
      <w:r w:rsidRPr="00D068A6">
        <w:rPr>
          <w:sz w:val="24"/>
          <w:szCs w:val="24"/>
          <w:lang w:val="es-PE"/>
        </w:rPr>
        <w:t>.</w:t>
      </w:r>
      <w:r w:rsidRPr="00D068A6">
        <w:rPr>
          <w:rStyle w:val="Refdenotaalpie"/>
          <w:sz w:val="24"/>
          <w:szCs w:val="24"/>
          <w:lang w:val="es-PE"/>
        </w:rPr>
        <w:footnoteReference w:id="19"/>
      </w:r>
      <w:r w:rsidRPr="00D068A6">
        <w:rPr>
          <w:sz w:val="24"/>
          <w:szCs w:val="24"/>
          <w:lang w:val="es-PE"/>
        </w:rPr>
        <w:t xml:space="preserve"> </w:t>
      </w:r>
      <w:r w:rsidR="00045859" w:rsidRPr="00D068A6">
        <w:rPr>
          <w:sz w:val="24"/>
          <w:szCs w:val="24"/>
          <w:lang w:val="es-PE"/>
        </w:rPr>
        <w:t xml:space="preserve">Es cierto que resultaba reconfortante, en vista de la incertidumbre de los mercados internacionales, que la mayor parte de las obligaciones </w:t>
      </w:r>
      <w:r w:rsidR="00045859" w:rsidRPr="00D068A6">
        <w:rPr>
          <w:sz w:val="24"/>
          <w:szCs w:val="24"/>
          <w:lang w:val="es-PE"/>
        </w:rPr>
        <w:lastRenderedPageBreak/>
        <w:t>presentasen tasas de interés fijas</w:t>
      </w:r>
      <w:r w:rsidRPr="00D068A6">
        <w:rPr>
          <w:sz w:val="24"/>
          <w:szCs w:val="24"/>
          <w:lang w:val="es-PE"/>
        </w:rPr>
        <w:t xml:space="preserve"> (2/3) </w:t>
      </w:r>
      <w:r w:rsidR="00045859" w:rsidRPr="00D068A6">
        <w:rPr>
          <w:sz w:val="24"/>
          <w:szCs w:val="24"/>
          <w:lang w:val="es-PE"/>
        </w:rPr>
        <w:t>y fuesen a mediano plazo</w:t>
      </w:r>
      <w:r w:rsidR="00A131B2">
        <w:rPr>
          <w:sz w:val="24"/>
          <w:szCs w:val="24"/>
          <w:lang w:val="es-PE"/>
        </w:rPr>
        <w:t>,</w:t>
      </w:r>
      <w:r w:rsidR="00045859" w:rsidRPr="00D068A6">
        <w:rPr>
          <w:sz w:val="24"/>
          <w:szCs w:val="24"/>
          <w:lang w:val="es-PE"/>
        </w:rPr>
        <w:t xml:space="preserve"> y que la deuda total externa de Chile estuviese </w:t>
      </w:r>
      <w:r w:rsidR="00A131B2">
        <w:rPr>
          <w:sz w:val="24"/>
          <w:szCs w:val="24"/>
          <w:lang w:val="es-PE"/>
        </w:rPr>
        <w:t>en</w:t>
      </w:r>
      <w:r w:rsidR="00045859" w:rsidRPr="00D068A6">
        <w:rPr>
          <w:sz w:val="24"/>
          <w:szCs w:val="24"/>
          <w:lang w:val="es-PE"/>
        </w:rPr>
        <w:t xml:space="preserve"> un nivel relativamente bajo de 49% del PBI anual. Sin embargo, </w:t>
      </w:r>
      <w:r w:rsidR="00A131B2">
        <w:rPr>
          <w:sz w:val="24"/>
          <w:szCs w:val="24"/>
          <w:lang w:val="es-PE"/>
        </w:rPr>
        <w:t>ese PBI anual estaba calculado con un tipo de cambio muy apreciado (</w:t>
      </w:r>
      <w:r w:rsidR="00045859" w:rsidRPr="00D068A6">
        <w:rPr>
          <w:sz w:val="24"/>
          <w:szCs w:val="24"/>
          <w:lang w:val="es-PE"/>
        </w:rPr>
        <w:t>con un promedio de</w:t>
      </w:r>
      <w:r w:rsidRPr="00D068A6">
        <w:rPr>
          <w:sz w:val="24"/>
          <w:szCs w:val="24"/>
          <w:lang w:val="es-PE"/>
        </w:rPr>
        <w:t xml:space="preserve"> $495 </w:t>
      </w:r>
      <w:r w:rsidR="00045859" w:rsidRPr="00D068A6">
        <w:rPr>
          <w:sz w:val="24"/>
          <w:szCs w:val="24"/>
          <w:lang w:val="es-PE"/>
        </w:rPr>
        <w:t xml:space="preserve">por </w:t>
      </w:r>
      <w:r w:rsidR="00D068A6" w:rsidRPr="00D068A6">
        <w:rPr>
          <w:sz w:val="24"/>
          <w:szCs w:val="24"/>
          <w:lang w:val="es-PE"/>
        </w:rPr>
        <w:t xml:space="preserve">dólar </w:t>
      </w:r>
      <w:r w:rsidR="00045859" w:rsidRPr="00D068A6">
        <w:rPr>
          <w:sz w:val="24"/>
          <w:szCs w:val="24"/>
          <w:lang w:val="es-PE"/>
        </w:rPr>
        <w:t>en</w:t>
      </w:r>
      <w:r w:rsidRPr="00D068A6">
        <w:rPr>
          <w:sz w:val="24"/>
          <w:szCs w:val="24"/>
          <w:lang w:val="es-PE"/>
        </w:rPr>
        <w:t xml:space="preserve"> 2013</w:t>
      </w:r>
      <w:r w:rsidR="00A131B2">
        <w:rPr>
          <w:sz w:val="24"/>
          <w:szCs w:val="24"/>
          <w:lang w:val="es-PE"/>
        </w:rPr>
        <w:t>,</w:t>
      </w:r>
      <w:r w:rsidR="00045859" w:rsidRPr="00D068A6">
        <w:rPr>
          <w:sz w:val="24"/>
          <w:szCs w:val="24"/>
          <w:lang w:val="es-PE"/>
        </w:rPr>
        <w:t xml:space="preserve"> con </w:t>
      </w:r>
      <w:r w:rsidR="00E15BCB">
        <w:rPr>
          <w:sz w:val="24"/>
          <w:szCs w:val="24"/>
          <w:lang w:val="es-PE"/>
        </w:rPr>
        <w:t>un</w:t>
      </w:r>
      <w:r w:rsidR="00045859" w:rsidRPr="00D068A6">
        <w:rPr>
          <w:sz w:val="24"/>
          <w:szCs w:val="24"/>
          <w:lang w:val="es-PE"/>
        </w:rPr>
        <w:t xml:space="preserve"> alza </w:t>
      </w:r>
      <w:r w:rsidR="00A131B2">
        <w:rPr>
          <w:sz w:val="24"/>
          <w:szCs w:val="24"/>
          <w:lang w:val="es-PE"/>
        </w:rPr>
        <w:t>a</w:t>
      </w:r>
      <w:r w:rsidR="00045859" w:rsidRPr="00D068A6">
        <w:rPr>
          <w:sz w:val="24"/>
          <w:szCs w:val="24"/>
          <w:lang w:val="es-PE"/>
        </w:rPr>
        <w:t xml:space="preserve"> alrededor de</w:t>
      </w:r>
      <w:r w:rsidRPr="00D068A6">
        <w:rPr>
          <w:sz w:val="24"/>
          <w:szCs w:val="24"/>
          <w:lang w:val="es-PE"/>
        </w:rPr>
        <w:t xml:space="preserve"> $700 </w:t>
      </w:r>
      <w:r w:rsidR="00045859" w:rsidRPr="00D068A6">
        <w:rPr>
          <w:sz w:val="24"/>
          <w:szCs w:val="24"/>
          <w:lang w:val="es-PE"/>
        </w:rPr>
        <w:t>por dólar, a principios de 2016</w:t>
      </w:r>
      <w:r w:rsidR="00D068A6" w:rsidRPr="00D068A6">
        <w:rPr>
          <w:sz w:val="24"/>
          <w:szCs w:val="24"/>
          <w:lang w:val="es-PE"/>
        </w:rPr>
        <w:t>, lo que causó</w:t>
      </w:r>
      <w:r w:rsidR="00045859" w:rsidRPr="00D068A6">
        <w:rPr>
          <w:sz w:val="24"/>
          <w:szCs w:val="24"/>
          <w:lang w:val="es-PE"/>
        </w:rPr>
        <w:t xml:space="preserve"> una reducción </w:t>
      </w:r>
      <w:r w:rsidR="00721F12">
        <w:rPr>
          <w:sz w:val="24"/>
          <w:szCs w:val="24"/>
          <w:lang w:val="es-PE"/>
        </w:rPr>
        <w:t xml:space="preserve">sustancial </w:t>
      </w:r>
      <w:r w:rsidR="00045859" w:rsidRPr="00D068A6">
        <w:rPr>
          <w:sz w:val="24"/>
          <w:szCs w:val="24"/>
          <w:lang w:val="es-PE"/>
        </w:rPr>
        <w:t xml:space="preserve">del valor del PBI </w:t>
      </w:r>
      <w:r w:rsidR="00E15BCB">
        <w:rPr>
          <w:sz w:val="24"/>
          <w:szCs w:val="24"/>
          <w:lang w:val="es-PE"/>
        </w:rPr>
        <w:t xml:space="preserve">expresado </w:t>
      </w:r>
      <w:r w:rsidR="00045859" w:rsidRPr="00D068A6">
        <w:rPr>
          <w:sz w:val="24"/>
          <w:szCs w:val="24"/>
          <w:lang w:val="es-PE"/>
        </w:rPr>
        <w:t>en dólares</w:t>
      </w:r>
      <w:r w:rsidRPr="00D068A6">
        <w:rPr>
          <w:sz w:val="24"/>
          <w:szCs w:val="24"/>
          <w:lang w:val="es-PE"/>
        </w:rPr>
        <w:t xml:space="preserve">). </w:t>
      </w:r>
      <w:r w:rsidR="00045859" w:rsidRPr="00D068A6">
        <w:rPr>
          <w:sz w:val="24"/>
          <w:szCs w:val="24"/>
          <w:lang w:val="es-PE"/>
        </w:rPr>
        <w:t xml:space="preserve">Por el lado positivo, </w:t>
      </w:r>
      <w:r w:rsidR="00A131B2">
        <w:rPr>
          <w:sz w:val="24"/>
          <w:szCs w:val="24"/>
          <w:lang w:val="es-PE"/>
        </w:rPr>
        <w:t xml:space="preserve">como se mencionó antes, </w:t>
      </w:r>
      <w:r w:rsidR="00045859" w:rsidRPr="00D068A6">
        <w:rPr>
          <w:sz w:val="24"/>
          <w:szCs w:val="24"/>
          <w:lang w:val="es-PE"/>
        </w:rPr>
        <w:t xml:space="preserve">los mercados financieros internacionales tenían una opinión </w:t>
      </w:r>
      <w:r w:rsidR="00A131B2">
        <w:rPr>
          <w:sz w:val="24"/>
          <w:szCs w:val="24"/>
          <w:lang w:val="es-PE"/>
        </w:rPr>
        <w:t>muy</w:t>
      </w:r>
      <w:r w:rsidR="00045859" w:rsidRPr="00D068A6">
        <w:rPr>
          <w:sz w:val="24"/>
          <w:szCs w:val="24"/>
          <w:lang w:val="es-PE"/>
        </w:rPr>
        <w:t xml:space="preserve"> positiv</w:t>
      </w:r>
      <w:r w:rsidR="00A131B2">
        <w:rPr>
          <w:sz w:val="24"/>
          <w:szCs w:val="24"/>
          <w:lang w:val="es-PE"/>
        </w:rPr>
        <w:t>a</w:t>
      </w:r>
      <w:r w:rsidR="00045859" w:rsidRPr="00D068A6">
        <w:rPr>
          <w:sz w:val="24"/>
          <w:szCs w:val="24"/>
          <w:lang w:val="es-PE"/>
        </w:rPr>
        <w:t xml:space="preserve"> de la posición </w:t>
      </w:r>
      <w:r w:rsidR="00A131B2">
        <w:rPr>
          <w:sz w:val="24"/>
          <w:szCs w:val="24"/>
          <w:lang w:val="es-PE"/>
        </w:rPr>
        <w:t>financiera</w:t>
      </w:r>
      <w:r w:rsidR="00045859" w:rsidRPr="00D068A6">
        <w:rPr>
          <w:sz w:val="24"/>
          <w:szCs w:val="24"/>
          <w:lang w:val="es-PE"/>
        </w:rPr>
        <w:t xml:space="preserve"> de Chile, con lo que </w:t>
      </w:r>
      <w:r w:rsidR="00A131B2">
        <w:rPr>
          <w:sz w:val="24"/>
          <w:szCs w:val="24"/>
          <w:lang w:val="es-PE"/>
        </w:rPr>
        <w:t>le asignaron</w:t>
      </w:r>
      <w:r w:rsidR="00045859" w:rsidRPr="00D068A6">
        <w:rPr>
          <w:sz w:val="24"/>
          <w:szCs w:val="24"/>
          <w:lang w:val="es-PE"/>
        </w:rPr>
        <w:t xml:space="preserve"> </w:t>
      </w:r>
      <w:r w:rsidR="00721F12">
        <w:rPr>
          <w:sz w:val="24"/>
          <w:szCs w:val="24"/>
          <w:lang w:val="es-PE"/>
        </w:rPr>
        <w:t>el mencionado</w:t>
      </w:r>
      <w:r w:rsidR="00070C10">
        <w:rPr>
          <w:sz w:val="24"/>
          <w:szCs w:val="24"/>
          <w:lang w:val="es-PE"/>
        </w:rPr>
        <w:t xml:space="preserve"> </w:t>
      </w:r>
      <w:r w:rsidR="00070C10" w:rsidRPr="00070C10">
        <w:rPr>
          <w:i/>
          <w:sz w:val="24"/>
          <w:szCs w:val="24"/>
          <w:lang w:val="es-PE"/>
        </w:rPr>
        <w:t>spread</w:t>
      </w:r>
      <w:r w:rsidRPr="00D068A6">
        <w:rPr>
          <w:sz w:val="24"/>
          <w:szCs w:val="24"/>
          <w:lang w:val="es-PE"/>
        </w:rPr>
        <w:t xml:space="preserve"> (EMBI) </w:t>
      </w:r>
      <w:r w:rsidR="00045859" w:rsidRPr="00D068A6">
        <w:rPr>
          <w:sz w:val="24"/>
          <w:szCs w:val="24"/>
          <w:lang w:val="es-PE"/>
        </w:rPr>
        <w:t>de</w:t>
      </w:r>
      <w:r w:rsidRPr="00D068A6">
        <w:rPr>
          <w:sz w:val="24"/>
          <w:szCs w:val="24"/>
          <w:lang w:val="es-PE"/>
        </w:rPr>
        <w:t xml:space="preserve"> 154 </w:t>
      </w:r>
      <w:r w:rsidR="00045859" w:rsidRPr="00D068A6">
        <w:rPr>
          <w:sz w:val="24"/>
          <w:szCs w:val="24"/>
          <w:lang w:val="es-PE"/>
        </w:rPr>
        <w:t>puntos básicos en</w:t>
      </w:r>
      <w:r w:rsidRPr="00D068A6">
        <w:rPr>
          <w:sz w:val="24"/>
          <w:szCs w:val="24"/>
          <w:lang w:val="es-PE"/>
        </w:rPr>
        <w:t xml:space="preserve"> 2013 </w:t>
      </w:r>
      <w:r w:rsidR="00045859" w:rsidRPr="00D068A6">
        <w:rPr>
          <w:sz w:val="24"/>
          <w:szCs w:val="24"/>
          <w:lang w:val="es-PE"/>
        </w:rPr>
        <w:t>en comparación con el promedio regional de 3</w:t>
      </w:r>
      <w:r w:rsidRPr="00D068A6">
        <w:rPr>
          <w:sz w:val="24"/>
          <w:szCs w:val="24"/>
          <w:lang w:val="es-PE"/>
        </w:rPr>
        <w:t xml:space="preserve">79 </w:t>
      </w:r>
      <w:r w:rsidR="00045859" w:rsidRPr="00D068A6">
        <w:rPr>
          <w:sz w:val="24"/>
          <w:szCs w:val="24"/>
          <w:lang w:val="es-PE"/>
        </w:rPr>
        <w:t>puntos</w:t>
      </w:r>
      <w:r w:rsidRPr="00D068A6">
        <w:rPr>
          <w:sz w:val="24"/>
          <w:szCs w:val="24"/>
          <w:lang w:val="es-PE"/>
        </w:rPr>
        <w:t>.</w:t>
      </w:r>
      <w:r w:rsidR="00045859" w:rsidRPr="00D068A6">
        <w:rPr>
          <w:sz w:val="24"/>
          <w:szCs w:val="24"/>
          <w:lang w:val="es-PE"/>
        </w:rPr>
        <w:t xml:space="preserve"> </w:t>
      </w:r>
    </w:p>
    <w:p w14:paraId="6AFA4931" w14:textId="77777777" w:rsidR="00B97A48" w:rsidRPr="00D068A6" w:rsidRDefault="00B97A48" w:rsidP="00877F9B">
      <w:pPr>
        <w:spacing w:line="360" w:lineRule="auto"/>
        <w:jc w:val="both"/>
        <w:rPr>
          <w:sz w:val="24"/>
          <w:szCs w:val="24"/>
          <w:lang w:val="es-PE"/>
        </w:rPr>
      </w:pPr>
    </w:p>
    <w:p w14:paraId="43E0ECD0" w14:textId="771E852F" w:rsidR="00877F9B" w:rsidRPr="00D068A6" w:rsidRDefault="00541EA1" w:rsidP="00877F9B">
      <w:pPr>
        <w:pStyle w:val="Prrafodelista"/>
        <w:numPr>
          <w:ilvl w:val="0"/>
          <w:numId w:val="5"/>
        </w:numPr>
        <w:spacing w:line="360" w:lineRule="auto"/>
        <w:contextualSpacing w:val="0"/>
        <w:jc w:val="both"/>
        <w:rPr>
          <w:i/>
          <w:iCs/>
          <w:sz w:val="24"/>
          <w:szCs w:val="24"/>
          <w:lang w:val="es-PE"/>
        </w:rPr>
      </w:pPr>
      <w:r w:rsidRPr="00D068A6">
        <w:rPr>
          <w:i/>
          <w:iCs/>
          <w:sz w:val="24"/>
          <w:szCs w:val="24"/>
          <w:lang w:val="es-PE"/>
        </w:rPr>
        <w:t>El desempeño global desde</w:t>
      </w:r>
      <w:r w:rsidR="00877F9B" w:rsidRPr="00D068A6">
        <w:rPr>
          <w:i/>
          <w:iCs/>
          <w:sz w:val="24"/>
          <w:szCs w:val="24"/>
          <w:lang w:val="es-PE"/>
        </w:rPr>
        <w:t xml:space="preserve"> 2013</w:t>
      </w:r>
    </w:p>
    <w:p w14:paraId="42A8181F" w14:textId="578C6F02" w:rsidR="00030563" w:rsidRPr="00D068A6" w:rsidRDefault="00195318" w:rsidP="003818FA">
      <w:pPr>
        <w:spacing w:line="360" w:lineRule="auto"/>
        <w:jc w:val="both"/>
        <w:rPr>
          <w:sz w:val="24"/>
          <w:szCs w:val="24"/>
          <w:lang w:val="es-PE"/>
        </w:rPr>
      </w:pPr>
      <w:r w:rsidRPr="00973704">
        <w:rPr>
          <w:sz w:val="24"/>
          <w:szCs w:val="24"/>
          <w:lang w:val="es-PE"/>
        </w:rPr>
        <w:t>A</w:t>
      </w:r>
      <w:r w:rsidR="00135CCA" w:rsidRPr="00195318">
        <w:rPr>
          <w:sz w:val="24"/>
          <w:szCs w:val="24"/>
          <w:lang w:val="es-PE"/>
        </w:rPr>
        <w:t>l conjunto de</w:t>
      </w:r>
      <w:r w:rsidR="00877F9B" w:rsidRPr="00195318">
        <w:rPr>
          <w:sz w:val="24"/>
          <w:szCs w:val="24"/>
          <w:lang w:val="es-PE"/>
        </w:rPr>
        <w:t xml:space="preserve"> vulnerabili</w:t>
      </w:r>
      <w:r w:rsidR="00135CCA" w:rsidRPr="00195318">
        <w:rPr>
          <w:sz w:val="24"/>
          <w:szCs w:val="24"/>
          <w:lang w:val="es-PE"/>
        </w:rPr>
        <w:t>dades</w:t>
      </w:r>
      <w:r w:rsidR="00877F9B" w:rsidRPr="00195318">
        <w:rPr>
          <w:sz w:val="24"/>
          <w:szCs w:val="24"/>
          <w:lang w:val="es-PE"/>
        </w:rPr>
        <w:t xml:space="preserve"> </w:t>
      </w:r>
      <w:r w:rsidR="00135CCA" w:rsidRPr="00195318">
        <w:rPr>
          <w:sz w:val="24"/>
          <w:szCs w:val="24"/>
          <w:lang w:val="es-PE"/>
        </w:rPr>
        <w:t xml:space="preserve">existentes en </w:t>
      </w:r>
      <w:r w:rsidR="00877F9B" w:rsidRPr="00195318">
        <w:rPr>
          <w:sz w:val="24"/>
          <w:szCs w:val="24"/>
          <w:lang w:val="es-PE"/>
        </w:rPr>
        <w:t>2013</w:t>
      </w:r>
      <w:r w:rsidRPr="00973704">
        <w:rPr>
          <w:sz w:val="24"/>
          <w:szCs w:val="24"/>
          <w:lang w:val="es-PE"/>
        </w:rPr>
        <w:t xml:space="preserve"> se agregó</w:t>
      </w:r>
      <w:r w:rsidR="00877F9B" w:rsidRPr="00195318">
        <w:rPr>
          <w:sz w:val="24"/>
          <w:szCs w:val="24"/>
          <w:lang w:val="es-PE"/>
        </w:rPr>
        <w:t xml:space="preserve"> </w:t>
      </w:r>
      <w:r w:rsidR="00135CCA" w:rsidRPr="00195318">
        <w:rPr>
          <w:sz w:val="24"/>
          <w:szCs w:val="24"/>
          <w:lang w:val="es-PE"/>
        </w:rPr>
        <w:t>el programa progresista de</w:t>
      </w:r>
      <w:r w:rsidR="00877F9B" w:rsidRPr="00195318">
        <w:rPr>
          <w:sz w:val="24"/>
          <w:szCs w:val="24"/>
          <w:lang w:val="es-PE"/>
        </w:rPr>
        <w:t xml:space="preserve"> reform</w:t>
      </w:r>
      <w:r w:rsidR="00135CCA" w:rsidRPr="00E806E3">
        <w:rPr>
          <w:sz w:val="24"/>
          <w:szCs w:val="24"/>
          <w:lang w:val="es-PE"/>
        </w:rPr>
        <w:t>a</w:t>
      </w:r>
      <w:r w:rsidR="00877F9B" w:rsidRPr="00E806E3">
        <w:rPr>
          <w:sz w:val="24"/>
          <w:szCs w:val="24"/>
          <w:lang w:val="es-PE"/>
        </w:rPr>
        <w:t>s</w:t>
      </w:r>
      <w:r w:rsidR="00135CCA" w:rsidRPr="00E806E3">
        <w:rPr>
          <w:sz w:val="24"/>
          <w:szCs w:val="24"/>
          <w:lang w:val="es-PE"/>
        </w:rPr>
        <w:t xml:space="preserve"> estructurales</w:t>
      </w:r>
      <w:r w:rsidR="00877F9B" w:rsidRPr="00E806E3">
        <w:rPr>
          <w:sz w:val="24"/>
          <w:szCs w:val="24"/>
          <w:lang w:val="es-PE"/>
        </w:rPr>
        <w:t xml:space="preserve"> </w:t>
      </w:r>
      <w:r w:rsidR="00CF223F" w:rsidRPr="00E806E3">
        <w:rPr>
          <w:sz w:val="24"/>
          <w:szCs w:val="24"/>
          <w:lang w:val="es-PE"/>
        </w:rPr>
        <w:t>que puso en marcha</w:t>
      </w:r>
      <w:r w:rsidR="00135CCA" w:rsidRPr="00E806E3">
        <w:rPr>
          <w:sz w:val="24"/>
          <w:szCs w:val="24"/>
          <w:lang w:val="es-PE"/>
        </w:rPr>
        <w:t xml:space="preserve"> el nuevo</w:t>
      </w:r>
      <w:r w:rsidR="00877F9B" w:rsidRPr="00E806E3">
        <w:rPr>
          <w:sz w:val="24"/>
          <w:szCs w:val="24"/>
          <w:lang w:val="es-PE"/>
        </w:rPr>
        <w:t xml:space="preserve"> go</w:t>
      </w:r>
      <w:r w:rsidR="00135CCA" w:rsidRPr="00E806E3">
        <w:rPr>
          <w:sz w:val="24"/>
          <w:szCs w:val="24"/>
          <w:lang w:val="es-PE"/>
        </w:rPr>
        <w:t>bierno que asumió</w:t>
      </w:r>
      <w:r w:rsidR="00877F9B" w:rsidRPr="00E806E3">
        <w:rPr>
          <w:sz w:val="24"/>
          <w:szCs w:val="24"/>
          <w:lang w:val="es-PE"/>
        </w:rPr>
        <w:t xml:space="preserve"> </w:t>
      </w:r>
      <w:r w:rsidR="00D57902" w:rsidRPr="00E806E3">
        <w:rPr>
          <w:sz w:val="24"/>
          <w:szCs w:val="24"/>
          <w:lang w:val="es-PE"/>
        </w:rPr>
        <w:t>en marzo de 2014</w:t>
      </w:r>
      <w:r w:rsidR="00030563" w:rsidRPr="00E806E3">
        <w:rPr>
          <w:sz w:val="24"/>
          <w:szCs w:val="24"/>
          <w:lang w:val="es-PE"/>
        </w:rPr>
        <w:t xml:space="preserve"> y la continuación de la incertidumbre en los mercados internacionales</w:t>
      </w:r>
      <w:r>
        <w:rPr>
          <w:sz w:val="24"/>
          <w:szCs w:val="24"/>
          <w:lang w:val="es-PE"/>
        </w:rPr>
        <w:t>. Es importante mencionar que y</w:t>
      </w:r>
      <w:r w:rsidR="005E6BCA" w:rsidRPr="00D068A6">
        <w:rPr>
          <w:sz w:val="24"/>
          <w:szCs w:val="24"/>
          <w:lang w:val="es-PE"/>
        </w:rPr>
        <w:t>a antes de asumir, el crecimiento del PIB cruzó la barrera del 3%</w:t>
      </w:r>
      <w:r w:rsidR="00BD37FE" w:rsidRPr="00D068A6">
        <w:rPr>
          <w:sz w:val="24"/>
          <w:szCs w:val="24"/>
          <w:lang w:val="es-PE"/>
        </w:rPr>
        <w:t>,</w:t>
      </w:r>
      <w:r w:rsidR="00030563" w:rsidRPr="00D068A6">
        <w:rPr>
          <w:sz w:val="24"/>
          <w:szCs w:val="24"/>
          <w:lang w:val="es-PE"/>
        </w:rPr>
        <w:t xml:space="preserve"> </w:t>
      </w:r>
      <w:r w:rsidR="006678BE">
        <w:rPr>
          <w:sz w:val="24"/>
          <w:szCs w:val="24"/>
          <w:lang w:val="es-PE"/>
        </w:rPr>
        <w:t xml:space="preserve">luego </w:t>
      </w:r>
      <w:r w:rsidR="00030563" w:rsidRPr="00D068A6">
        <w:rPr>
          <w:sz w:val="24"/>
          <w:szCs w:val="24"/>
          <w:lang w:val="es-PE"/>
        </w:rPr>
        <w:t>fluctua</w:t>
      </w:r>
      <w:r w:rsidR="00BD37FE" w:rsidRPr="00D068A6">
        <w:rPr>
          <w:sz w:val="24"/>
          <w:szCs w:val="24"/>
          <w:lang w:val="es-PE"/>
        </w:rPr>
        <w:t>n</w:t>
      </w:r>
      <w:r w:rsidR="00030563" w:rsidRPr="00D068A6">
        <w:rPr>
          <w:sz w:val="24"/>
          <w:szCs w:val="24"/>
          <w:lang w:val="es-PE"/>
        </w:rPr>
        <w:t xml:space="preserve">do alrededor de </w:t>
      </w:r>
      <w:r w:rsidR="00791F66" w:rsidRPr="00D068A6">
        <w:rPr>
          <w:sz w:val="24"/>
          <w:szCs w:val="24"/>
          <w:lang w:val="es-PE"/>
        </w:rPr>
        <w:t xml:space="preserve">una tasa de </w:t>
      </w:r>
      <w:r w:rsidR="00030563" w:rsidRPr="00D068A6">
        <w:rPr>
          <w:sz w:val="24"/>
          <w:szCs w:val="24"/>
          <w:lang w:val="es-PE"/>
        </w:rPr>
        <w:t xml:space="preserve">2% hasta el primer </w:t>
      </w:r>
      <w:r w:rsidR="00541EA1" w:rsidRPr="00D068A6">
        <w:rPr>
          <w:sz w:val="24"/>
          <w:szCs w:val="24"/>
          <w:lang w:val="es-PE"/>
        </w:rPr>
        <w:t>semestre</w:t>
      </w:r>
      <w:r w:rsidR="00030563" w:rsidRPr="00D068A6">
        <w:rPr>
          <w:sz w:val="24"/>
          <w:szCs w:val="24"/>
          <w:lang w:val="es-PE"/>
        </w:rPr>
        <w:t xml:space="preserve"> de 2016.</w:t>
      </w:r>
      <w:r w:rsidR="00C717B6">
        <w:rPr>
          <w:sz w:val="24"/>
          <w:szCs w:val="24"/>
          <w:lang w:val="es-PE"/>
        </w:rPr>
        <w:t xml:space="preserve"> </w:t>
      </w:r>
    </w:p>
    <w:p w14:paraId="4D23C4E9" w14:textId="35EED2D9" w:rsidR="00C37A46" w:rsidRPr="00D068A6" w:rsidRDefault="00030563" w:rsidP="003818FA">
      <w:pPr>
        <w:spacing w:line="360" w:lineRule="auto"/>
        <w:jc w:val="both"/>
        <w:rPr>
          <w:sz w:val="24"/>
          <w:szCs w:val="24"/>
          <w:lang w:val="es-PE"/>
        </w:rPr>
      </w:pPr>
      <w:r w:rsidRPr="00D068A6">
        <w:rPr>
          <w:sz w:val="24"/>
          <w:szCs w:val="24"/>
          <w:lang w:val="es-PE"/>
        </w:rPr>
        <w:tab/>
        <w:t>La</w:t>
      </w:r>
      <w:r w:rsidR="00C37A46" w:rsidRPr="00D068A6">
        <w:rPr>
          <w:sz w:val="24"/>
          <w:szCs w:val="24"/>
          <w:lang w:val="es-PE"/>
        </w:rPr>
        <w:t xml:space="preserve"> fuerte desaceleración de la economía nacional no </w:t>
      </w:r>
      <w:r w:rsidR="00BD37FE" w:rsidRPr="00D068A6">
        <w:rPr>
          <w:sz w:val="24"/>
          <w:szCs w:val="24"/>
          <w:lang w:val="es-PE"/>
        </w:rPr>
        <w:t>fue</w:t>
      </w:r>
      <w:r w:rsidR="00C37A46" w:rsidRPr="00D068A6">
        <w:rPr>
          <w:sz w:val="24"/>
          <w:szCs w:val="24"/>
          <w:lang w:val="es-PE"/>
        </w:rPr>
        <w:t xml:space="preserve"> una excepción en  América Latina. El gráfico </w:t>
      </w:r>
      <w:r w:rsidR="008427A9">
        <w:rPr>
          <w:sz w:val="24"/>
          <w:szCs w:val="24"/>
          <w:lang w:val="es-PE"/>
        </w:rPr>
        <w:t>2</w:t>
      </w:r>
      <w:r w:rsidR="007617A6">
        <w:rPr>
          <w:sz w:val="24"/>
          <w:szCs w:val="24"/>
          <w:lang w:val="es-PE"/>
        </w:rPr>
        <w:t xml:space="preserve"> y el cuadro 1</w:t>
      </w:r>
      <w:r w:rsidR="00C37A46" w:rsidRPr="00D068A6">
        <w:rPr>
          <w:sz w:val="24"/>
          <w:szCs w:val="24"/>
          <w:lang w:val="es-PE"/>
        </w:rPr>
        <w:t xml:space="preserve"> muestra</w:t>
      </w:r>
      <w:r w:rsidR="007617A6">
        <w:rPr>
          <w:sz w:val="24"/>
          <w:szCs w:val="24"/>
          <w:lang w:val="es-PE"/>
        </w:rPr>
        <w:t>n</w:t>
      </w:r>
      <w:r w:rsidR="00C37A46" w:rsidRPr="00D068A6">
        <w:rPr>
          <w:sz w:val="24"/>
          <w:szCs w:val="24"/>
          <w:lang w:val="es-PE"/>
        </w:rPr>
        <w:t xml:space="preserve"> como Chile a</w:t>
      </w:r>
      <w:r w:rsidR="0096266F" w:rsidRPr="00D068A6">
        <w:rPr>
          <w:sz w:val="24"/>
          <w:szCs w:val="24"/>
          <w:lang w:val="es-PE"/>
        </w:rPr>
        <w:t xml:space="preserve">un cuando se </w:t>
      </w:r>
      <w:r w:rsidR="00BD37FE" w:rsidRPr="00D068A6">
        <w:rPr>
          <w:sz w:val="24"/>
          <w:szCs w:val="24"/>
          <w:lang w:val="es-PE"/>
        </w:rPr>
        <w:t>desacelera</w:t>
      </w:r>
      <w:r w:rsidR="0096266F" w:rsidRPr="00D068A6">
        <w:rPr>
          <w:sz w:val="24"/>
          <w:szCs w:val="24"/>
          <w:lang w:val="es-PE"/>
        </w:rPr>
        <w:t>ba</w:t>
      </w:r>
      <w:r w:rsidR="00BD37FE" w:rsidRPr="00D068A6">
        <w:rPr>
          <w:sz w:val="24"/>
          <w:szCs w:val="24"/>
          <w:lang w:val="es-PE"/>
        </w:rPr>
        <w:t xml:space="preserve"> </w:t>
      </w:r>
      <w:r w:rsidR="0096266F" w:rsidRPr="00D068A6">
        <w:rPr>
          <w:sz w:val="24"/>
          <w:szCs w:val="24"/>
          <w:lang w:val="es-PE"/>
        </w:rPr>
        <w:t>se</w:t>
      </w:r>
      <w:r w:rsidR="00BD37FE" w:rsidRPr="00D068A6">
        <w:rPr>
          <w:sz w:val="24"/>
          <w:szCs w:val="24"/>
          <w:lang w:val="es-PE"/>
        </w:rPr>
        <w:t xml:space="preserve"> </w:t>
      </w:r>
      <w:r w:rsidR="00C37A46" w:rsidRPr="00D068A6">
        <w:rPr>
          <w:sz w:val="24"/>
          <w:szCs w:val="24"/>
          <w:lang w:val="es-PE"/>
        </w:rPr>
        <w:t>manten</w:t>
      </w:r>
      <w:r w:rsidR="0096266F" w:rsidRPr="00D068A6">
        <w:rPr>
          <w:sz w:val="24"/>
          <w:szCs w:val="24"/>
          <w:lang w:val="es-PE"/>
        </w:rPr>
        <w:t>ía</w:t>
      </w:r>
      <w:r w:rsidR="00C37A46" w:rsidRPr="00D068A6">
        <w:rPr>
          <w:sz w:val="24"/>
          <w:szCs w:val="24"/>
          <w:lang w:val="es-PE"/>
        </w:rPr>
        <w:t xml:space="preserve"> sobre el promedio de la región; pero </w:t>
      </w:r>
      <w:r w:rsidR="00195318" w:rsidRPr="00D068A6">
        <w:rPr>
          <w:sz w:val="24"/>
          <w:szCs w:val="24"/>
          <w:lang w:val="es-PE"/>
        </w:rPr>
        <w:t>e</w:t>
      </w:r>
      <w:r w:rsidR="00195318">
        <w:rPr>
          <w:sz w:val="24"/>
          <w:szCs w:val="24"/>
          <w:lang w:val="es-PE"/>
        </w:rPr>
        <w:t>sto</w:t>
      </w:r>
      <w:r w:rsidR="00195318" w:rsidRPr="00D068A6">
        <w:rPr>
          <w:sz w:val="24"/>
          <w:szCs w:val="24"/>
          <w:lang w:val="es-PE"/>
        </w:rPr>
        <w:t xml:space="preserve"> </w:t>
      </w:r>
      <w:r w:rsidR="00C37A46" w:rsidRPr="00D068A6">
        <w:rPr>
          <w:sz w:val="24"/>
          <w:szCs w:val="24"/>
          <w:lang w:val="es-PE"/>
        </w:rPr>
        <w:t xml:space="preserve">es explicado </w:t>
      </w:r>
      <w:r w:rsidR="008427A9">
        <w:rPr>
          <w:sz w:val="24"/>
          <w:szCs w:val="24"/>
          <w:lang w:val="es-PE"/>
        </w:rPr>
        <w:t>principalmente</w:t>
      </w:r>
      <w:r w:rsidR="00C37A46" w:rsidRPr="00D068A6">
        <w:rPr>
          <w:sz w:val="24"/>
          <w:szCs w:val="24"/>
          <w:lang w:val="es-PE"/>
        </w:rPr>
        <w:t xml:space="preserve"> por  el  intenso deterioro de la economía de Brasil. </w:t>
      </w:r>
      <w:r w:rsidR="00BD37FE" w:rsidRPr="00D068A6">
        <w:rPr>
          <w:sz w:val="24"/>
          <w:szCs w:val="24"/>
          <w:lang w:val="es-PE"/>
        </w:rPr>
        <w:t>Cuando se excluye este país, el 2</w:t>
      </w:r>
      <w:r w:rsidR="00CF223F" w:rsidRPr="00D068A6">
        <w:rPr>
          <w:sz w:val="24"/>
          <w:szCs w:val="24"/>
          <w:lang w:val="es-PE"/>
        </w:rPr>
        <w:t>,1</w:t>
      </w:r>
      <w:r w:rsidR="00BD37FE" w:rsidRPr="00D068A6">
        <w:rPr>
          <w:sz w:val="24"/>
          <w:szCs w:val="24"/>
          <w:lang w:val="es-PE"/>
        </w:rPr>
        <w:t xml:space="preserve">% de crecimiento de </w:t>
      </w:r>
      <w:r w:rsidR="00C37A46" w:rsidRPr="00D068A6">
        <w:rPr>
          <w:sz w:val="24"/>
          <w:szCs w:val="24"/>
          <w:lang w:val="es-PE"/>
        </w:rPr>
        <w:t xml:space="preserve">Chile </w:t>
      </w:r>
      <w:r w:rsidR="00DF2385" w:rsidRPr="00D068A6">
        <w:rPr>
          <w:sz w:val="24"/>
          <w:szCs w:val="24"/>
          <w:lang w:val="es-PE"/>
        </w:rPr>
        <w:t xml:space="preserve">en 2014-15 </w:t>
      </w:r>
      <w:r w:rsidR="00B720DF" w:rsidRPr="00D068A6">
        <w:rPr>
          <w:sz w:val="24"/>
          <w:szCs w:val="24"/>
          <w:lang w:val="es-PE"/>
        </w:rPr>
        <w:t>q</w:t>
      </w:r>
      <w:r w:rsidR="00BD37FE" w:rsidRPr="00D068A6">
        <w:rPr>
          <w:sz w:val="24"/>
          <w:szCs w:val="24"/>
          <w:lang w:val="es-PE"/>
        </w:rPr>
        <w:t>ueda</w:t>
      </w:r>
      <w:r w:rsidR="00C37A46" w:rsidRPr="00D068A6">
        <w:rPr>
          <w:sz w:val="24"/>
          <w:szCs w:val="24"/>
          <w:lang w:val="es-PE"/>
        </w:rPr>
        <w:t xml:space="preserve"> situado </w:t>
      </w:r>
      <w:r w:rsidR="002B2131">
        <w:rPr>
          <w:sz w:val="24"/>
          <w:szCs w:val="24"/>
          <w:lang w:val="es-PE"/>
        </w:rPr>
        <w:t xml:space="preserve">más </w:t>
      </w:r>
      <w:r w:rsidR="00CF223F" w:rsidRPr="00D068A6">
        <w:rPr>
          <w:sz w:val="24"/>
          <w:szCs w:val="24"/>
          <w:lang w:val="es-PE"/>
        </w:rPr>
        <w:t>c</w:t>
      </w:r>
      <w:r w:rsidR="00BD37FE" w:rsidRPr="00D068A6">
        <w:rPr>
          <w:sz w:val="24"/>
          <w:szCs w:val="24"/>
          <w:lang w:val="es-PE"/>
        </w:rPr>
        <w:t>erca de</w:t>
      </w:r>
      <w:r w:rsidR="00C37A46" w:rsidRPr="00D068A6">
        <w:rPr>
          <w:sz w:val="24"/>
          <w:szCs w:val="24"/>
          <w:lang w:val="es-PE"/>
        </w:rPr>
        <w:t xml:space="preserve"> la media de Hispano América</w:t>
      </w:r>
      <w:r w:rsidR="00357368">
        <w:rPr>
          <w:sz w:val="24"/>
          <w:szCs w:val="24"/>
          <w:lang w:val="es-PE"/>
        </w:rPr>
        <w:t xml:space="preserve"> (1</w:t>
      </w:r>
      <w:r w:rsidR="002B2131">
        <w:rPr>
          <w:sz w:val="24"/>
          <w:szCs w:val="24"/>
          <w:lang w:val="es-PE"/>
        </w:rPr>
        <w:t>4</w:t>
      </w:r>
      <w:r w:rsidR="00BF0935" w:rsidRPr="00D068A6">
        <w:rPr>
          <w:sz w:val="24"/>
          <w:szCs w:val="24"/>
          <w:lang w:val="es-PE"/>
        </w:rPr>
        <w:t>%)</w:t>
      </w:r>
      <w:r w:rsidR="00C37A46" w:rsidRPr="00D068A6">
        <w:rPr>
          <w:sz w:val="24"/>
          <w:szCs w:val="24"/>
          <w:lang w:val="es-PE"/>
        </w:rPr>
        <w:t xml:space="preserve">, luego de </w:t>
      </w:r>
      <w:r w:rsidR="00B207D1">
        <w:rPr>
          <w:sz w:val="24"/>
          <w:szCs w:val="24"/>
          <w:lang w:val="es-PE"/>
        </w:rPr>
        <w:t>superar por  casi 4 puntos</w:t>
      </w:r>
      <w:r w:rsidR="00C37A46" w:rsidRPr="00D068A6">
        <w:rPr>
          <w:sz w:val="24"/>
          <w:szCs w:val="24"/>
          <w:lang w:val="es-PE"/>
        </w:rPr>
        <w:t xml:space="preserve"> a la región en los 90s</w:t>
      </w:r>
      <w:r w:rsidR="00BF0935" w:rsidRPr="00D068A6">
        <w:rPr>
          <w:sz w:val="24"/>
          <w:szCs w:val="24"/>
          <w:lang w:val="es-PE"/>
        </w:rPr>
        <w:t xml:space="preserve"> (7</w:t>
      </w:r>
      <w:r w:rsidR="00CF223F" w:rsidRPr="00D068A6">
        <w:rPr>
          <w:sz w:val="24"/>
          <w:szCs w:val="24"/>
          <w:lang w:val="es-PE"/>
        </w:rPr>
        <w:t>,1% vs 3,</w:t>
      </w:r>
      <w:r w:rsidR="00BF0935" w:rsidRPr="00D068A6">
        <w:rPr>
          <w:sz w:val="24"/>
          <w:szCs w:val="24"/>
          <w:lang w:val="es-PE"/>
        </w:rPr>
        <w:t>2%)</w:t>
      </w:r>
      <w:r w:rsidR="00C37A46" w:rsidRPr="00D068A6">
        <w:rPr>
          <w:sz w:val="24"/>
          <w:szCs w:val="24"/>
          <w:lang w:val="es-PE"/>
        </w:rPr>
        <w:t xml:space="preserve">, y </w:t>
      </w:r>
      <w:r w:rsidR="007C603D">
        <w:rPr>
          <w:sz w:val="24"/>
          <w:szCs w:val="24"/>
          <w:lang w:val="es-PE"/>
        </w:rPr>
        <w:t xml:space="preserve">también por aquellas </w:t>
      </w:r>
      <w:r w:rsidR="00BF0935" w:rsidRPr="00D068A6">
        <w:rPr>
          <w:sz w:val="24"/>
          <w:szCs w:val="24"/>
          <w:lang w:val="es-PE"/>
        </w:rPr>
        <w:t>siete</w:t>
      </w:r>
      <w:r w:rsidR="00C37A46" w:rsidRPr="00D068A6">
        <w:rPr>
          <w:sz w:val="24"/>
          <w:szCs w:val="24"/>
          <w:lang w:val="es-PE"/>
        </w:rPr>
        <w:t xml:space="preserve"> décimas en 1999-2013.</w:t>
      </w:r>
      <w:r w:rsidR="008416FA" w:rsidRPr="00D068A6">
        <w:rPr>
          <w:sz w:val="24"/>
          <w:szCs w:val="24"/>
          <w:lang w:val="es-PE"/>
        </w:rPr>
        <w:t xml:space="preserve"> El cambio de enfoque macroeconómico, abandonando la estrategia contra-cíclica</w:t>
      </w:r>
      <w:r w:rsidR="00B720DF" w:rsidRPr="00D068A6">
        <w:rPr>
          <w:sz w:val="24"/>
          <w:szCs w:val="24"/>
          <w:lang w:val="es-PE"/>
        </w:rPr>
        <w:t xml:space="preserve"> de 1990-98</w:t>
      </w:r>
      <w:r w:rsidR="008F5A65" w:rsidRPr="00D068A6">
        <w:rPr>
          <w:sz w:val="24"/>
          <w:szCs w:val="24"/>
          <w:lang w:val="es-PE"/>
        </w:rPr>
        <w:t>,</w:t>
      </w:r>
      <w:r w:rsidR="008416FA" w:rsidRPr="00D068A6">
        <w:rPr>
          <w:sz w:val="24"/>
          <w:szCs w:val="24"/>
          <w:lang w:val="es-PE"/>
        </w:rPr>
        <w:t xml:space="preserve"> había </w:t>
      </w:r>
      <w:r w:rsidR="00BD37FE" w:rsidRPr="00D068A6">
        <w:rPr>
          <w:sz w:val="24"/>
          <w:szCs w:val="24"/>
          <w:lang w:val="es-PE"/>
        </w:rPr>
        <w:t xml:space="preserve">contribuido a </w:t>
      </w:r>
      <w:r w:rsidR="008416FA" w:rsidRPr="00D068A6">
        <w:rPr>
          <w:sz w:val="24"/>
          <w:szCs w:val="24"/>
          <w:lang w:val="es-PE"/>
        </w:rPr>
        <w:t>lleva</w:t>
      </w:r>
      <w:r w:rsidR="00BD37FE" w:rsidRPr="00D068A6">
        <w:rPr>
          <w:sz w:val="24"/>
          <w:szCs w:val="24"/>
          <w:lang w:val="es-PE"/>
        </w:rPr>
        <w:t>r</w:t>
      </w:r>
      <w:r w:rsidR="008416FA" w:rsidRPr="00D068A6">
        <w:rPr>
          <w:sz w:val="24"/>
          <w:szCs w:val="24"/>
          <w:lang w:val="es-PE"/>
        </w:rPr>
        <w:t xml:space="preserve"> a Chile a converg</w:t>
      </w:r>
      <w:r w:rsidR="00195318">
        <w:rPr>
          <w:sz w:val="24"/>
          <w:szCs w:val="24"/>
          <w:lang w:val="es-PE"/>
        </w:rPr>
        <w:t>e</w:t>
      </w:r>
      <w:r w:rsidR="008416FA" w:rsidRPr="00D068A6">
        <w:rPr>
          <w:sz w:val="24"/>
          <w:szCs w:val="24"/>
          <w:lang w:val="es-PE"/>
        </w:rPr>
        <w:t xml:space="preserve">r con el desempeño </w:t>
      </w:r>
      <w:r w:rsidR="002B2131">
        <w:rPr>
          <w:sz w:val="24"/>
          <w:szCs w:val="24"/>
          <w:lang w:val="es-PE"/>
        </w:rPr>
        <w:t xml:space="preserve">promedio </w:t>
      </w:r>
      <w:r w:rsidR="008416FA" w:rsidRPr="00D068A6">
        <w:rPr>
          <w:sz w:val="24"/>
          <w:szCs w:val="24"/>
          <w:lang w:val="es-PE"/>
        </w:rPr>
        <w:t>de la región</w:t>
      </w:r>
      <w:r w:rsidR="008F5A65" w:rsidRPr="00D068A6">
        <w:rPr>
          <w:sz w:val="24"/>
          <w:szCs w:val="24"/>
          <w:lang w:val="es-PE"/>
        </w:rPr>
        <w:t>.</w:t>
      </w:r>
    </w:p>
    <w:p w14:paraId="2B3B946A" w14:textId="256EE765" w:rsidR="00030563" w:rsidRPr="00D068A6" w:rsidRDefault="00C37A46" w:rsidP="003818FA">
      <w:pPr>
        <w:spacing w:line="360" w:lineRule="auto"/>
        <w:jc w:val="both"/>
        <w:rPr>
          <w:sz w:val="24"/>
          <w:szCs w:val="24"/>
          <w:lang w:val="es-PE"/>
        </w:rPr>
      </w:pPr>
      <w:r w:rsidRPr="00D068A6">
        <w:rPr>
          <w:sz w:val="24"/>
          <w:szCs w:val="24"/>
          <w:lang w:val="es-PE"/>
        </w:rPr>
        <w:tab/>
      </w:r>
      <w:r w:rsidRPr="00D068A6">
        <w:rPr>
          <w:sz w:val="24"/>
          <w:szCs w:val="24"/>
          <w:lang w:val="es-PE"/>
        </w:rPr>
        <w:tab/>
      </w:r>
      <w:r w:rsidRPr="00D068A6">
        <w:rPr>
          <w:sz w:val="24"/>
          <w:szCs w:val="24"/>
          <w:lang w:val="es-PE"/>
        </w:rPr>
        <w:tab/>
      </w:r>
      <w:r w:rsidRPr="00D068A6">
        <w:rPr>
          <w:sz w:val="24"/>
          <w:szCs w:val="24"/>
          <w:lang w:val="es-PE"/>
        </w:rPr>
        <w:tab/>
      </w:r>
      <w:r w:rsidRPr="00D068A6">
        <w:rPr>
          <w:sz w:val="24"/>
          <w:szCs w:val="24"/>
          <w:lang w:val="es-PE"/>
        </w:rPr>
        <w:tab/>
      </w:r>
      <w:r w:rsidR="00135CCA" w:rsidRPr="00D068A6">
        <w:rPr>
          <w:sz w:val="24"/>
          <w:szCs w:val="24"/>
          <w:lang w:val="es-PE"/>
        </w:rPr>
        <w:t>Gráfico</w:t>
      </w:r>
      <w:r w:rsidR="00CF223F" w:rsidRPr="00D068A6">
        <w:rPr>
          <w:sz w:val="24"/>
          <w:szCs w:val="24"/>
          <w:lang w:val="es-PE"/>
        </w:rPr>
        <w:t xml:space="preserve"> </w:t>
      </w:r>
      <w:r w:rsidR="008427A9">
        <w:rPr>
          <w:sz w:val="24"/>
          <w:szCs w:val="24"/>
          <w:lang w:val="es-PE"/>
        </w:rPr>
        <w:t>2</w:t>
      </w:r>
      <w:r w:rsidRPr="00D068A6">
        <w:rPr>
          <w:sz w:val="24"/>
          <w:szCs w:val="24"/>
          <w:lang w:val="es-PE"/>
        </w:rPr>
        <w:t xml:space="preserve"> </w:t>
      </w:r>
    </w:p>
    <w:p w14:paraId="03CF1464" w14:textId="2C9D32BA" w:rsidR="0044367F" w:rsidRPr="00D068A6" w:rsidRDefault="00D70A83" w:rsidP="0044367F">
      <w:pPr>
        <w:spacing w:line="360" w:lineRule="auto"/>
        <w:ind w:firstLine="708"/>
        <w:jc w:val="both"/>
        <w:rPr>
          <w:sz w:val="24"/>
          <w:szCs w:val="24"/>
          <w:lang w:val="es-PE"/>
        </w:rPr>
      </w:pPr>
      <w:r>
        <w:rPr>
          <w:sz w:val="24"/>
          <w:szCs w:val="24"/>
          <w:lang w:val="es-PE"/>
        </w:rPr>
        <w:t>El deterioro de l</w:t>
      </w:r>
      <w:r w:rsidR="00BD37FE" w:rsidRPr="00D068A6">
        <w:rPr>
          <w:sz w:val="24"/>
          <w:szCs w:val="24"/>
          <w:lang w:val="es-PE"/>
        </w:rPr>
        <w:t xml:space="preserve">as exportaciones y la  inversión productiva son  dos variables que </w:t>
      </w:r>
      <w:r w:rsidR="00E806E3">
        <w:rPr>
          <w:sz w:val="24"/>
          <w:szCs w:val="24"/>
          <w:lang w:val="es-PE"/>
        </w:rPr>
        <w:t>tuvieron un rol central en</w:t>
      </w:r>
      <w:r w:rsidR="00E806E3" w:rsidRPr="00D068A6">
        <w:rPr>
          <w:sz w:val="24"/>
          <w:szCs w:val="24"/>
          <w:lang w:val="es-PE"/>
        </w:rPr>
        <w:t xml:space="preserve"> </w:t>
      </w:r>
      <w:r w:rsidR="00BD37FE" w:rsidRPr="00D068A6">
        <w:rPr>
          <w:sz w:val="24"/>
          <w:szCs w:val="24"/>
          <w:lang w:val="es-PE"/>
        </w:rPr>
        <w:t xml:space="preserve">la </w:t>
      </w:r>
      <w:r w:rsidR="00657423" w:rsidRPr="00D068A6">
        <w:rPr>
          <w:sz w:val="24"/>
          <w:szCs w:val="24"/>
          <w:lang w:val="es-PE"/>
        </w:rPr>
        <w:t>desaceleración de la tasa de crecimiento de</w:t>
      </w:r>
      <w:r w:rsidR="00BD37FE" w:rsidRPr="00D068A6">
        <w:rPr>
          <w:sz w:val="24"/>
          <w:szCs w:val="24"/>
          <w:lang w:val="es-PE"/>
        </w:rPr>
        <w:t xml:space="preserve"> la actividad económica. </w:t>
      </w:r>
      <w:r w:rsidR="008416FA" w:rsidRPr="00D068A6">
        <w:rPr>
          <w:sz w:val="24"/>
          <w:szCs w:val="24"/>
          <w:lang w:val="es-PE"/>
        </w:rPr>
        <w:t xml:space="preserve">El </w:t>
      </w:r>
      <w:r w:rsidR="007C603D">
        <w:rPr>
          <w:sz w:val="24"/>
          <w:szCs w:val="24"/>
          <w:lang w:val="es-PE"/>
        </w:rPr>
        <w:t>d</w:t>
      </w:r>
      <w:r w:rsidR="008416FA" w:rsidRPr="00D068A6">
        <w:rPr>
          <w:sz w:val="24"/>
          <w:szCs w:val="24"/>
          <w:lang w:val="es-PE"/>
        </w:rPr>
        <w:t>e</w:t>
      </w:r>
      <w:r>
        <w:rPr>
          <w:sz w:val="24"/>
          <w:szCs w:val="24"/>
          <w:lang w:val="es-PE"/>
        </w:rPr>
        <w:t>bilitamiento</w:t>
      </w:r>
      <w:r w:rsidR="008416FA" w:rsidRPr="00D068A6">
        <w:rPr>
          <w:sz w:val="24"/>
          <w:szCs w:val="24"/>
          <w:lang w:val="es-PE"/>
        </w:rPr>
        <w:t xml:space="preserve"> de las exportaciones se profundizó</w:t>
      </w:r>
      <w:r w:rsidR="007C603D">
        <w:rPr>
          <w:sz w:val="24"/>
          <w:szCs w:val="24"/>
          <w:lang w:val="es-PE"/>
        </w:rPr>
        <w:t xml:space="preserve"> fuertemente</w:t>
      </w:r>
      <w:r w:rsidR="008416FA" w:rsidRPr="00D068A6">
        <w:rPr>
          <w:sz w:val="24"/>
          <w:szCs w:val="24"/>
          <w:lang w:val="es-PE"/>
        </w:rPr>
        <w:t xml:space="preserve">, pues </w:t>
      </w:r>
      <w:r w:rsidR="0096266F" w:rsidRPr="00D068A6">
        <w:rPr>
          <w:sz w:val="24"/>
          <w:szCs w:val="24"/>
          <w:lang w:val="es-PE"/>
        </w:rPr>
        <w:t>a</w:t>
      </w:r>
      <w:r w:rsidR="008F5A65" w:rsidRPr="00D068A6">
        <w:rPr>
          <w:sz w:val="24"/>
          <w:szCs w:val="24"/>
          <w:lang w:val="es-PE"/>
        </w:rPr>
        <w:t>hora  evolucionaban por debajo del deprimido comportamiento del comercio internacional</w:t>
      </w:r>
      <w:r w:rsidR="008416FA" w:rsidRPr="00D068A6">
        <w:rPr>
          <w:sz w:val="24"/>
          <w:szCs w:val="24"/>
          <w:lang w:val="es-PE"/>
        </w:rPr>
        <w:t>.</w:t>
      </w:r>
      <w:r w:rsidR="008F5A65" w:rsidRPr="00D068A6">
        <w:rPr>
          <w:sz w:val="24"/>
          <w:szCs w:val="24"/>
          <w:lang w:val="es-PE"/>
        </w:rPr>
        <w:t xml:space="preserve"> La</w:t>
      </w:r>
      <w:r w:rsidR="00BD37FE" w:rsidRPr="00D068A6">
        <w:rPr>
          <w:sz w:val="24"/>
          <w:szCs w:val="24"/>
          <w:lang w:val="es-PE"/>
        </w:rPr>
        <w:t xml:space="preserve"> FBKF</w:t>
      </w:r>
      <w:r w:rsidR="001C4A3F" w:rsidRPr="00D068A6">
        <w:rPr>
          <w:sz w:val="24"/>
          <w:szCs w:val="24"/>
          <w:lang w:val="es-PE"/>
        </w:rPr>
        <w:t xml:space="preserve"> continuó reduciéndose, fuertemente en maquinaria y equipos.</w:t>
      </w:r>
      <w:r w:rsidR="003D3E80" w:rsidRPr="00D068A6">
        <w:rPr>
          <w:sz w:val="24"/>
          <w:szCs w:val="24"/>
          <w:lang w:val="es-PE"/>
        </w:rPr>
        <w:t xml:space="preserve"> </w:t>
      </w:r>
      <w:r w:rsidR="0044367F" w:rsidRPr="00D068A6">
        <w:rPr>
          <w:sz w:val="24"/>
          <w:szCs w:val="24"/>
          <w:lang w:val="es-PE"/>
        </w:rPr>
        <w:t xml:space="preserve">El inicio del efecto </w:t>
      </w:r>
      <w:r w:rsidR="0044367F" w:rsidRPr="00D068A6">
        <w:rPr>
          <w:sz w:val="24"/>
          <w:szCs w:val="24"/>
          <w:lang w:val="es-PE"/>
        </w:rPr>
        <w:lastRenderedPageBreak/>
        <w:t>desacelerador del ciclo minero empezó a sentirse con fuerza en las regiones mineras en empleos,  construcción y ventas del comercio.</w:t>
      </w:r>
    </w:p>
    <w:p w14:paraId="1D720412" w14:textId="5F7D92DF" w:rsidR="001C4A3F" w:rsidRDefault="003D3E80" w:rsidP="00EE4F5B">
      <w:pPr>
        <w:spacing w:line="360" w:lineRule="auto"/>
        <w:ind w:firstLine="708"/>
        <w:jc w:val="both"/>
        <w:rPr>
          <w:sz w:val="24"/>
          <w:szCs w:val="24"/>
          <w:lang w:val="es-PE"/>
        </w:rPr>
      </w:pPr>
      <w:r w:rsidRPr="00347794">
        <w:rPr>
          <w:sz w:val="24"/>
          <w:szCs w:val="24"/>
          <w:lang w:val="es-PE"/>
        </w:rPr>
        <w:t xml:space="preserve">Como se puede apreciar en el cuadro 1 (arriba), la desaceleración estuvo compartida por exportaciones y </w:t>
      </w:r>
      <w:r w:rsidR="00460E6C" w:rsidRPr="00347794">
        <w:rPr>
          <w:sz w:val="24"/>
          <w:szCs w:val="24"/>
          <w:lang w:val="es-PE"/>
        </w:rPr>
        <w:t xml:space="preserve">el </w:t>
      </w:r>
      <w:r w:rsidRPr="00347794">
        <w:rPr>
          <w:sz w:val="24"/>
          <w:szCs w:val="24"/>
          <w:lang w:val="es-PE"/>
        </w:rPr>
        <w:t>resto del PIB en 2014</w:t>
      </w:r>
      <w:r w:rsidR="00460E6C" w:rsidRPr="00347794">
        <w:rPr>
          <w:sz w:val="24"/>
          <w:szCs w:val="24"/>
          <w:lang w:val="es-PE"/>
        </w:rPr>
        <w:t>: la producción para el mercado interno se redujo desde un aporte de 3,1% en 2013 a 1,6% en 2014</w:t>
      </w:r>
      <w:r w:rsidR="00657423" w:rsidRPr="00347794">
        <w:rPr>
          <w:sz w:val="24"/>
          <w:szCs w:val="24"/>
          <w:lang w:val="es-PE"/>
        </w:rPr>
        <w:t xml:space="preserve">. En cambio, en 2015 </w:t>
      </w:r>
      <w:r w:rsidR="007C603D">
        <w:rPr>
          <w:sz w:val="24"/>
          <w:szCs w:val="24"/>
          <w:lang w:val="es-PE"/>
        </w:rPr>
        <w:t xml:space="preserve">más que todo </w:t>
      </w:r>
      <w:r w:rsidR="00657423" w:rsidRPr="00347794">
        <w:rPr>
          <w:sz w:val="24"/>
          <w:szCs w:val="24"/>
          <w:lang w:val="es-PE"/>
        </w:rPr>
        <w:t>el 2</w:t>
      </w:r>
      <w:r w:rsidR="00620E64" w:rsidRPr="00347794">
        <w:rPr>
          <w:sz w:val="24"/>
          <w:szCs w:val="24"/>
          <w:lang w:val="es-PE"/>
        </w:rPr>
        <w:t>,</w:t>
      </w:r>
      <w:r w:rsidR="001075CE" w:rsidRPr="00347794">
        <w:rPr>
          <w:sz w:val="24"/>
          <w:szCs w:val="24"/>
          <w:lang w:val="es-PE"/>
        </w:rPr>
        <w:t>3</w:t>
      </w:r>
      <w:r w:rsidR="00657423" w:rsidRPr="00347794">
        <w:rPr>
          <w:sz w:val="24"/>
          <w:szCs w:val="24"/>
          <w:lang w:val="es-PE"/>
        </w:rPr>
        <w:t xml:space="preserve">% de aumento </w:t>
      </w:r>
      <w:r w:rsidR="00460E6C" w:rsidRPr="00347794">
        <w:rPr>
          <w:sz w:val="24"/>
          <w:szCs w:val="24"/>
          <w:lang w:val="es-PE"/>
        </w:rPr>
        <w:t xml:space="preserve">total </w:t>
      </w:r>
      <w:r w:rsidR="00657423" w:rsidRPr="00347794">
        <w:rPr>
          <w:sz w:val="24"/>
          <w:szCs w:val="24"/>
          <w:lang w:val="es-PE"/>
        </w:rPr>
        <w:t>del PIB residió en la economía interna</w:t>
      </w:r>
      <w:r w:rsidR="00460E6C" w:rsidRPr="00347794">
        <w:rPr>
          <w:sz w:val="24"/>
          <w:szCs w:val="24"/>
          <w:lang w:val="es-PE"/>
        </w:rPr>
        <w:t xml:space="preserve"> (</w:t>
      </w:r>
      <w:r w:rsidR="00146ED6" w:rsidRPr="00347794">
        <w:rPr>
          <w:sz w:val="24"/>
          <w:szCs w:val="24"/>
          <w:lang w:val="es-PE"/>
        </w:rPr>
        <w:t xml:space="preserve">contribuyó </w:t>
      </w:r>
      <w:r w:rsidR="00460E6C" w:rsidRPr="00347794">
        <w:rPr>
          <w:sz w:val="24"/>
          <w:szCs w:val="24"/>
          <w:lang w:val="es-PE"/>
        </w:rPr>
        <w:t>un 2,8%)</w:t>
      </w:r>
      <w:r w:rsidR="00657423" w:rsidRPr="00347794">
        <w:rPr>
          <w:sz w:val="24"/>
          <w:szCs w:val="24"/>
          <w:lang w:val="es-PE"/>
        </w:rPr>
        <w:t xml:space="preserve">, en tanto que </w:t>
      </w:r>
      <w:r w:rsidR="007C603D">
        <w:rPr>
          <w:sz w:val="24"/>
          <w:szCs w:val="24"/>
          <w:lang w:val="es-PE"/>
        </w:rPr>
        <w:t>la caída d</w:t>
      </w:r>
      <w:r w:rsidR="00657423" w:rsidRPr="00347794">
        <w:rPr>
          <w:sz w:val="24"/>
          <w:szCs w:val="24"/>
          <w:lang w:val="es-PE"/>
        </w:rPr>
        <w:t xml:space="preserve">el volumen de las exportaciones </w:t>
      </w:r>
      <w:r w:rsidR="007C603D">
        <w:rPr>
          <w:sz w:val="24"/>
          <w:szCs w:val="24"/>
          <w:lang w:val="es-PE"/>
        </w:rPr>
        <w:t>hacía un aporte negativo</w:t>
      </w:r>
      <w:r w:rsidR="00657423" w:rsidRPr="00347794">
        <w:rPr>
          <w:sz w:val="24"/>
          <w:szCs w:val="24"/>
          <w:lang w:val="es-PE"/>
        </w:rPr>
        <w:t xml:space="preserve">. </w:t>
      </w:r>
      <w:r w:rsidR="00A43A01" w:rsidRPr="00347794">
        <w:rPr>
          <w:sz w:val="24"/>
          <w:szCs w:val="24"/>
          <w:lang w:val="es-PE"/>
        </w:rPr>
        <w:t xml:space="preserve">La economía interna es </w:t>
      </w:r>
      <w:r w:rsidR="00374846" w:rsidRPr="00347794">
        <w:rPr>
          <w:sz w:val="24"/>
          <w:szCs w:val="24"/>
          <w:lang w:val="es-PE"/>
        </w:rPr>
        <w:t xml:space="preserve">mucho </w:t>
      </w:r>
      <w:r w:rsidR="00A43A01" w:rsidRPr="00347794">
        <w:rPr>
          <w:sz w:val="24"/>
          <w:szCs w:val="24"/>
          <w:lang w:val="es-PE"/>
        </w:rPr>
        <w:t>más  intensa en  PYMEs y con mayor utilizaci</w:t>
      </w:r>
      <w:r w:rsidR="00374846" w:rsidRPr="00347794">
        <w:rPr>
          <w:sz w:val="24"/>
          <w:szCs w:val="24"/>
          <w:lang w:val="es-PE"/>
        </w:rPr>
        <w:t>ón del trab</w:t>
      </w:r>
      <w:r w:rsidR="00A43A01" w:rsidRPr="00347794">
        <w:rPr>
          <w:sz w:val="24"/>
          <w:szCs w:val="24"/>
          <w:lang w:val="es-PE"/>
        </w:rPr>
        <w:t>ajo por unidad de capital físico</w:t>
      </w:r>
      <w:r w:rsidR="00721F12" w:rsidRPr="00347794">
        <w:rPr>
          <w:sz w:val="24"/>
          <w:szCs w:val="24"/>
          <w:lang w:val="es-PE"/>
        </w:rPr>
        <w:t xml:space="preserve"> que en el caso de las exportaciones</w:t>
      </w:r>
      <w:r w:rsidR="00374846" w:rsidRPr="00347794">
        <w:rPr>
          <w:sz w:val="24"/>
          <w:szCs w:val="24"/>
          <w:lang w:val="es-PE"/>
        </w:rPr>
        <w:t xml:space="preserve">. </w:t>
      </w:r>
      <w:r w:rsidR="00657423" w:rsidRPr="00347794">
        <w:rPr>
          <w:sz w:val="24"/>
          <w:szCs w:val="24"/>
          <w:lang w:val="es-PE"/>
        </w:rPr>
        <w:t xml:space="preserve">Dos </w:t>
      </w:r>
      <w:r w:rsidR="00EE4F5B" w:rsidRPr="00347794">
        <w:rPr>
          <w:sz w:val="24"/>
          <w:szCs w:val="24"/>
          <w:lang w:val="es-PE"/>
        </w:rPr>
        <w:t xml:space="preserve">ítems </w:t>
      </w:r>
      <w:r w:rsidR="00F40667" w:rsidRPr="00347794">
        <w:rPr>
          <w:sz w:val="24"/>
          <w:szCs w:val="24"/>
          <w:lang w:val="es-PE"/>
        </w:rPr>
        <w:t>fueron</w:t>
      </w:r>
      <w:r w:rsidR="00657423" w:rsidRPr="00347794">
        <w:rPr>
          <w:sz w:val="24"/>
          <w:szCs w:val="24"/>
          <w:lang w:val="es-PE"/>
        </w:rPr>
        <w:t xml:space="preserve"> determinantes</w:t>
      </w:r>
      <w:r w:rsidR="0044367F" w:rsidRPr="00347794">
        <w:rPr>
          <w:sz w:val="24"/>
          <w:szCs w:val="24"/>
          <w:lang w:val="es-PE"/>
        </w:rPr>
        <w:t xml:space="preserve"> de la </w:t>
      </w:r>
      <w:r w:rsidR="007C603D">
        <w:rPr>
          <w:sz w:val="24"/>
          <w:szCs w:val="24"/>
          <w:lang w:val="es-PE"/>
        </w:rPr>
        <w:t>mejor respuesta</w:t>
      </w:r>
      <w:r w:rsidR="0044367F" w:rsidRPr="00347794">
        <w:rPr>
          <w:sz w:val="24"/>
          <w:szCs w:val="24"/>
          <w:lang w:val="es-PE"/>
        </w:rPr>
        <w:t xml:space="preserve"> de la economía interna</w:t>
      </w:r>
      <w:r w:rsidR="00657423" w:rsidRPr="00347794">
        <w:rPr>
          <w:sz w:val="24"/>
          <w:szCs w:val="24"/>
          <w:lang w:val="es-PE"/>
        </w:rPr>
        <w:t xml:space="preserve">: el gasto fiscal y </w:t>
      </w:r>
      <w:r w:rsidR="00EE4F5B" w:rsidRPr="00347794">
        <w:rPr>
          <w:sz w:val="24"/>
          <w:szCs w:val="24"/>
          <w:lang w:val="es-PE"/>
        </w:rPr>
        <w:t xml:space="preserve">el sector de </w:t>
      </w:r>
      <w:r w:rsidR="00657423" w:rsidRPr="00347794">
        <w:rPr>
          <w:sz w:val="24"/>
          <w:szCs w:val="24"/>
          <w:lang w:val="es-PE"/>
        </w:rPr>
        <w:t>la construcción</w:t>
      </w:r>
      <w:r w:rsidR="00EE4F5B" w:rsidRPr="00347794">
        <w:rPr>
          <w:sz w:val="24"/>
          <w:szCs w:val="24"/>
          <w:lang w:val="es-PE"/>
        </w:rPr>
        <w:t>. El primero</w:t>
      </w:r>
      <w:r w:rsidR="00374846" w:rsidRPr="00347794">
        <w:rPr>
          <w:sz w:val="24"/>
          <w:szCs w:val="24"/>
          <w:lang w:val="es-PE"/>
        </w:rPr>
        <w:t>,</w:t>
      </w:r>
      <w:r w:rsidR="00EE4F5B" w:rsidRPr="00347794">
        <w:rPr>
          <w:sz w:val="24"/>
          <w:szCs w:val="24"/>
          <w:lang w:val="es-PE"/>
        </w:rPr>
        <w:t xml:space="preserve"> por la decisión de aplicar un ajuste </w:t>
      </w:r>
      <w:r w:rsidR="005B11C7" w:rsidRPr="00347794">
        <w:rPr>
          <w:sz w:val="24"/>
          <w:szCs w:val="24"/>
          <w:lang w:val="es-PE"/>
        </w:rPr>
        <w:t xml:space="preserve">fiscal </w:t>
      </w:r>
      <w:r w:rsidR="00CE04C6" w:rsidRPr="00347794">
        <w:rPr>
          <w:sz w:val="24"/>
          <w:szCs w:val="24"/>
          <w:lang w:val="es-PE"/>
        </w:rPr>
        <w:t xml:space="preserve"> </w:t>
      </w:r>
      <w:r w:rsidR="00EE4F5B" w:rsidRPr="00347794">
        <w:rPr>
          <w:sz w:val="24"/>
          <w:szCs w:val="24"/>
          <w:lang w:val="es-PE"/>
        </w:rPr>
        <w:t>reactivador</w:t>
      </w:r>
      <w:r w:rsidR="007341CD" w:rsidRPr="00347794">
        <w:rPr>
          <w:sz w:val="24"/>
          <w:szCs w:val="24"/>
          <w:lang w:val="es-PE"/>
        </w:rPr>
        <w:t>,</w:t>
      </w:r>
      <w:r w:rsidR="00620E64" w:rsidRPr="00347794">
        <w:rPr>
          <w:sz w:val="24"/>
          <w:szCs w:val="24"/>
          <w:lang w:val="es-PE"/>
        </w:rPr>
        <w:t xml:space="preserve"> contra-cíclico,</w:t>
      </w:r>
      <w:r w:rsidR="007341CD" w:rsidRPr="00347794">
        <w:rPr>
          <w:sz w:val="24"/>
          <w:szCs w:val="24"/>
          <w:lang w:val="es-PE"/>
        </w:rPr>
        <w:t xml:space="preserve"> aunque muy </w:t>
      </w:r>
      <w:r w:rsidR="00F40667" w:rsidRPr="00347794">
        <w:rPr>
          <w:sz w:val="24"/>
          <w:szCs w:val="24"/>
          <w:lang w:val="es-PE"/>
        </w:rPr>
        <w:t>m</w:t>
      </w:r>
      <w:r w:rsidR="007341CD" w:rsidRPr="00347794">
        <w:rPr>
          <w:sz w:val="24"/>
          <w:szCs w:val="24"/>
          <w:lang w:val="es-PE"/>
        </w:rPr>
        <w:t>oderado</w:t>
      </w:r>
      <w:r w:rsidR="007C603D">
        <w:rPr>
          <w:sz w:val="24"/>
          <w:szCs w:val="24"/>
          <w:lang w:val="es-PE"/>
        </w:rPr>
        <w:t xml:space="preserve"> en 2015</w:t>
      </w:r>
      <w:r w:rsidR="00EE4F5B" w:rsidRPr="00347794">
        <w:rPr>
          <w:sz w:val="24"/>
          <w:szCs w:val="24"/>
          <w:lang w:val="es-PE"/>
        </w:rPr>
        <w:t xml:space="preserve">. El </w:t>
      </w:r>
      <w:r w:rsidR="001B3003" w:rsidRPr="00347794">
        <w:rPr>
          <w:sz w:val="24"/>
          <w:szCs w:val="24"/>
          <w:lang w:val="es-PE"/>
        </w:rPr>
        <w:t>segundo</w:t>
      </w:r>
      <w:r w:rsidR="00374846" w:rsidRPr="00347794">
        <w:rPr>
          <w:sz w:val="24"/>
          <w:szCs w:val="24"/>
          <w:lang w:val="es-PE"/>
        </w:rPr>
        <w:t>,</w:t>
      </w:r>
      <w:r w:rsidR="00657423" w:rsidRPr="00347794">
        <w:rPr>
          <w:sz w:val="24"/>
          <w:szCs w:val="24"/>
          <w:lang w:val="es-PE"/>
        </w:rPr>
        <w:t xml:space="preserve"> por razones tributarias y por la disponibilidad de créditos hipotecarios a 20-30 años plazo a tasa</w:t>
      </w:r>
      <w:r w:rsidR="00EE4F5B" w:rsidRPr="00347794">
        <w:rPr>
          <w:sz w:val="24"/>
          <w:szCs w:val="24"/>
          <w:lang w:val="es-PE"/>
        </w:rPr>
        <w:t>s</w:t>
      </w:r>
      <w:r w:rsidR="00657423" w:rsidRPr="00347794">
        <w:rPr>
          <w:sz w:val="24"/>
          <w:szCs w:val="24"/>
          <w:lang w:val="es-PE"/>
        </w:rPr>
        <w:t xml:space="preserve"> </w:t>
      </w:r>
      <w:r w:rsidR="00EE4F5B" w:rsidRPr="00347794">
        <w:rPr>
          <w:sz w:val="24"/>
          <w:szCs w:val="24"/>
          <w:lang w:val="es-PE"/>
        </w:rPr>
        <w:t xml:space="preserve">de interés </w:t>
      </w:r>
      <w:r w:rsidR="001075CE" w:rsidRPr="00347794">
        <w:rPr>
          <w:sz w:val="24"/>
          <w:szCs w:val="24"/>
          <w:lang w:val="es-PE"/>
        </w:rPr>
        <w:t>aun</w:t>
      </w:r>
      <w:r w:rsidR="00657423" w:rsidRPr="00347794">
        <w:rPr>
          <w:sz w:val="24"/>
          <w:szCs w:val="24"/>
          <w:lang w:val="es-PE"/>
        </w:rPr>
        <w:t xml:space="preserve"> notablemente reducidas</w:t>
      </w:r>
      <w:r w:rsidR="00EE4F5B" w:rsidRPr="00347794">
        <w:rPr>
          <w:sz w:val="24"/>
          <w:szCs w:val="24"/>
          <w:lang w:val="es-PE"/>
        </w:rPr>
        <w:t>.</w:t>
      </w:r>
      <w:r w:rsidR="0044367F" w:rsidRPr="00D068A6">
        <w:rPr>
          <w:sz w:val="24"/>
          <w:szCs w:val="24"/>
          <w:lang w:val="es-PE"/>
        </w:rPr>
        <w:t xml:space="preserve"> </w:t>
      </w:r>
    </w:p>
    <w:p w14:paraId="7A646CAA" w14:textId="10E189DA" w:rsidR="0044367F" w:rsidRDefault="0044367F" w:rsidP="000F6292">
      <w:pPr>
        <w:spacing w:line="360" w:lineRule="auto"/>
        <w:ind w:firstLine="708"/>
        <w:jc w:val="both"/>
        <w:rPr>
          <w:sz w:val="24"/>
          <w:szCs w:val="24"/>
          <w:lang w:val="es-PE"/>
        </w:rPr>
      </w:pPr>
      <w:r w:rsidRPr="002B2131">
        <w:rPr>
          <w:sz w:val="24"/>
          <w:szCs w:val="24"/>
          <w:lang w:val="es-PE"/>
        </w:rPr>
        <w:t xml:space="preserve">La composición de la desaceleración </w:t>
      </w:r>
      <w:r w:rsidR="001075CE" w:rsidRPr="002B2131">
        <w:rPr>
          <w:sz w:val="24"/>
          <w:szCs w:val="24"/>
          <w:lang w:val="es-PE"/>
        </w:rPr>
        <w:t xml:space="preserve"> </w:t>
      </w:r>
      <w:r w:rsidR="00343254" w:rsidRPr="002B2131">
        <w:rPr>
          <w:sz w:val="24"/>
          <w:szCs w:val="24"/>
          <w:lang w:val="es-PE"/>
        </w:rPr>
        <w:t>contribuyó a</w:t>
      </w:r>
      <w:r w:rsidRPr="002B2131">
        <w:rPr>
          <w:sz w:val="24"/>
          <w:szCs w:val="24"/>
          <w:lang w:val="es-PE"/>
        </w:rPr>
        <w:t xml:space="preserve"> explicar la incógnita que  planteaba la persistencia de tasas de desocupación </w:t>
      </w:r>
      <w:r w:rsidR="00620E64" w:rsidRPr="002B2131">
        <w:rPr>
          <w:sz w:val="24"/>
          <w:szCs w:val="24"/>
          <w:lang w:val="es-PE"/>
        </w:rPr>
        <w:t>relativamente bajas hasta inicios de 2016</w:t>
      </w:r>
      <w:r w:rsidR="006479C9" w:rsidRPr="002B2131">
        <w:rPr>
          <w:sz w:val="24"/>
          <w:szCs w:val="24"/>
          <w:lang w:val="es-PE"/>
        </w:rPr>
        <w:t>; con aumento</w:t>
      </w:r>
      <w:r w:rsidR="000F6292" w:rsidRPr="002B2131">
        <w:rPr>
          <w:sz w:val="24"/>
          <w:szCs w:val="24"/>
          <w:lang w:val="es-PE"/>
        </w:rPr>
        <w:t>s</w:t>
      </w:r>
      <w:r w:rsidR="006479C9" w:rsidRPr="002B2131">
        <w:rPr>
          <w:sz w:val="24"/>
          <w:szCs w:val="24"/>
          <w:lang w:val="es-PE"/>
        </w:rPr>
        <w:t xml:space="preserve"> </w:t>
      </w:r>
      <w:r w:rsidR="000F6292" w:rsidRPr="002B2131">
        <w:rPr>
          <w:sz w:val="24"/>
          <w:szCs w:val="24"/>
          <w:lang w:val="es-PE"/>
        </w:rPr>
        <w:t xml:space="preserve">todavía significativos </w:t>
      </w:r>
      <w:r w:rsidR="006479C9" w:rsidRPr="002B2131">
        <w:rPr>
          <w:sz w:val="24"/>
          <w:szCs w:val="24"/>
          <w:lang w:val="es-PE"/>
        </w:rPr>
        <w:t>de la ocupación</w:t>
      </w:r>
      <w:r w:rsidR="00420D62" w:rsidRPr="002B2131">
        <w:rPr>
          <w:sz w:val="24"/>
          <w:szCs w:val="24"/>
          <w:lang w:val="es-PE"/>
        </w:rPr>
        <w:t xml:space="preserve"> y de la fuerza de trabajo</w:t>
      </w:r>
      <w:r w:rsidR="000F6292" w:rsidRPr="002B2131">
        <w:rPr>
          <w:sz w:val="24"/>
          <w:szCs w:val="24"/>
          <w:lang w:val="es-PE"/>
        </w:rPr>
        <w:t>.</w:t>
      </w:r>
      <w:r w:rsidR="00420D62" w:rsidRPr="002B2131">
        <w:rPr>
          <w:sz w:val="24"/>
          <w:szCs w:val="24"/>
          <w:lang w:val="es-PE"/>
        </w:rPr>
        <w:t xml:space="preserve"> </w:t>
      </w:r>
      <w:r w:rsidR="006479C9" w:rsidRPr="002B2131">
        <w:rPr>
          <w:sz w:val="24"/>
          <w:szCs w:val="24"/>
          <w:lang w:val="es-PE"/>
        </w:rPr>
        <w:t xml:space="preserve">Mientras tanto, los salarios reales </w:t>
      </w:r>
      <w:r w:rsidR="00743ABC" w:rsidRPr="002B2131">
        <w:rPr>
          <w:sz w:val="24"/>
          <w:szCs w:val="24"/>
          <w:lang w:val="es-PE"/>
        </w:rPr>
        <w:t xml:space="preserve">habían </w:t>
      </w:r>
      <w:r w:rsidR="006479C9" w:rsidRPr="002B2131">
        <w:rPr>
          <w:sz w:val="24"/>
          <w:szCs w:val="24"/>
          <w:lang w:val="es-PE"/>
        </w:rPr>
        <w:t>segu</w:t>
      </w:r>
      <w:r w:rsidR="00743ABC" w:rsidRPr="002B2131">
        <w:rPr>
          <w:sz w:val="24"/>
          <w:szCs w:val="24"/>
          <w:lang w:val="es-PE"/>
        </w:rPr>
        <w:t>ido</w:t>
      </w:r>
      <w:r w:rsidR="00146ED6" w:rsidRPr="002B2131">
        <w:rPr>
          <w:sz w:val="24"/>
          <w:szCs w:val="24"/>
          <w:lang w:val="es-PE"/>
        </w:rPr>
        <w:t xml:space="preserve">  creciendo</w:t>
      </w:r>
      <w:r w:rsidR="00420D62" w:rsidRPr="002B2131">
        <w:rPr>
          <w:sz w:val="24"/>
          <w:szCs w:val="24"/>
          <w:lang w:val="es-PE"/>
        </w:rPr>
        <w:t xml:space="preserve">, </w:t>
      </w:r>
      <w:r w:rsidR="00F143D7" w:rsidRPr="002B2131">
        <w:rPr>
          <w:sz w:val="24"/>
          <w:szCs w:val="24"/>
          <w:lang w:val="es-PE"/>
        </w:rPr>
        <w:t xml:space="preserve">aunque </w:t>
      </w:r>
      <w:r w:rsidR="00420D62" w:rsidRPr="002B2131">
        <w:rPr>
          <w:sz w:val="24"/>
          <w:szCs w:val="24"/>
          <w:lang w:val="es-PE"/>
        </w:rPr>
        <w:t xml:space="preserve">con </w:t>
      </w:r>
      <w:r w:rsidR="0001322E" w:rsidRPr="002B2131">
        <w:rPr>
          <w:sz w:val="24"/>
          <w:szCs w:val="24"/>
          <w:lang w:val="es-PE"/>
        </w:rPr>
        <w:t>un</w:t>
      </w:r>
      <w:r w:rsidR="00420D62" w:rsidRPr="002B2131">
        <w:rPr>
          <w:sz w:val="24"/>
          <w:szCs w:val="24"/>
          <w:lang w:val="es-PE"/>
        </w:rPr>
        <w:t>a tasa declinan</w:t>
      </w:r>
      <w:r w:rsidR="0001322E" w:rsidRPr="002B2131">
        <w:rPr>
          <w:sz w:val="24"/>
          <w:szCs w:val="24"/>
          <w:lang w:val="es-PE"/>
        </w:rPr>
        <w:t>te</w:t>
      </w:r>
      <w:r w:rsidR="00420D62" w:rsidRPr="002B2131">
        <w:rPr>
          <w:sz w:val="24"/>
          <w:szCs w:val="24"/>
          <w:lang w:val="es-PE"/>
        </w:rPr>
        <w:t xml:space="preserve"> </w:t>
      </w:r>
      <w:r w:rsidR="00F143D7" w:rsidRPr="002B2131">
        <w:rPr>
          <w:sz w:val="24"/>
          <w:szCs w:val="24"/>
          <w:lang w:val="es-PE"/>
        </w:rPr>
        <w:t xml:space="preserve">y </w:t>
      </w:r>
      <w:r w:rsidR="00930739" w:rsidRPr="002B2131">
        <w:rPr>
          <w:sz w:val="24"/>
          <w:szCs w:val="24"/>
          <w:lang w:val="es-PE"/>
        </w:rPr>
        <w:t xml:space="preserve">se registraba </w:t>
      </w:r>
      <w:r w:rsidR="003A1215">
        <w:rPr>
          <w:sz w:val="24"/>
          <w:szCs w:val="24"/>
          <w:lang w:val="es-PE"/>
        </w:rPr>
        <w:t>un aumento</w:t>
      </w:r>
      <w:r w:rsidR="00F143D7" w:rsidRPr="002B2131">
        <w:rPr>
          <w:sz w:val="24"/>
          <w:szCs w:val="24"/>
          <w:lang w:val="es-PE"/>
        </w:rPr>
        <w:t xml:space="preserve"> de la informalidad</w:t>
      </w:r>
      <w:r w:rsidR="002B2131" w:rsidRPr="002B2131">
        <w:rPr>
          <w:sz w:val="24"/>
          <w:szCs w:val="24"/>
          <w:lang w:val="es-PE"/>
        </w:rPr>
        <w:t>,</w:t>
      </w:r>
      <w:r w:rsidR="008D6F8A" w:rsidRPr="002B2131">
        <w:rPr>
          <w:sz w:val="24"/>
          <w:szCs w:val="24"/>
          <w:lang w:val="es-PE"/>
        </w:rPr>
        <w:t xml:space="preserve"> acentuada en el 2016</w:t>
      </w:r>
      <w:r w:rsidR="00420D62" w:rsidRPr="002B2131">
        <w:rPr>
          <w:sz w:val="24"/>
          <w:szCs w:val="24"/>
          <w:lang w:val="es-PE"/>
        </w:rPr>
        <w:t>.</w:t>
      </w:r>
    </w:p>
    <w:p w14:paraId="7C9E7D23" w14:textId="77777777" w:rsidR="00146ED6" w:rsidRPr="000F6292" w:rsidRDefault="00146ED6" w:rsidP="000F6292">
      <w:pPr>
        <w:spacing w:line="360" w:lineRule="auto"/>
        <w:ind w:firstLine="708"/>
        <w:jc w:val="both"/>
        <w:rPr>
          <w:sz w:val="24"/>
          <w:szCs w:val="24"/>
          <w:lang w:val="es-PE"/>
        </w:rPr>
      </w:pPr>
    </w:p>
    <w:p w14:paraId="44F18804" w14:textId="46A5880C" w:rsidR="00CB5F4D" w:rsidRPr="00D068A6" w:rsidRDefault="00135CCA" w:rsidP="00CB5F4D">
      <w:pPr>
        <w:pStyle w:val="Prrafodelista"/>
        <w:numPr>
          <w:ilvl w:val="0"/>
          <w:numId w:val="5"/>
        </w:numPr>
        <w:spacing w:line="360" w:lineRule="auto"/>
        <w:jc w:val="both"/>
        <w:rPr>
          <w:i/>
          <w:sz w:val="24"/>
          <w:szCs w:val="24"/>
          <w:lang w:val="es-PE"/>
        </w:rPr>
      </w:pPr>
      <w:r w:rsidRPr="00D068A6">
        <w:rPr>
          <w:i/>
          <w:sz w:val="24"/>
          <w:szCs w:val="24"/>
          <w:lang w:val="es-PE"/>
        </w:rPr>
        <w:t>El deterioro del entorno político y social</w:t>
      </w:r>
    </w:p>
    <w:p w14:paraId="4B77B496" w14:textId="45E2789D" w:rsidR="000A6F20" w:rsidRPr="00D068A6" w:rsidRDefault="002C2EFF" w:rsidP="00EE4F5B">
      <w:pPr>
        <w:spacing w:line="360" w:lineRule="auto"/>
        <w:ind w:firstLine="708"/>
        <w:jc w:val="both"/>
        <w:rPr>
          <w:sz w:val="24"/>
          <w:szCs w:val="24"/>
          <w:lang w:val="es-PE"/>
        </w:rPr>
      </w:pPr>
      <w:r w:rsidRPr="00D068A6">
        <w:rPr>
          <w:sz w:val="24"/>
          <w:szCs w:val="24"/>
          <w:lang w:val="es-PE"/>
        </w:rPr>
        <w:t xml:space="preserve">En general, </w:t>
      </w:r>
      <w:r w:rsidR="00347794">
        <w:rPr>
          <w:sz w:val="24"/>
          <w:szCs w:val="24"/>
          <w:lang w:val="es-PE"/>
        </w:rPr>
        <w:t>lo cual</w:t>
      </w:r>
      <w:r w:rsidR="004565F8">
        <w:rPr>
          <w:sz w:val="24"/>
          <w:szCs w:val="24"/>
          <w:lang w:val="es-PE"/>
        </w:rPr>
        <w:t xml:space="preserve"> no</w:t>
      </w:r>
      <w:r w:rsidR="00347794">
        <w:rPr>
          <w:sz w:val="24"/>
          <w:szCs w:val="24"/>
          <w:lang w:val="es-PE"/>
        </w:rPr>
        <w:t xml:space="preserve"> es</w:t>
      </w:r>
      <w:r w:rsidR="004565F8">
        <w:rPr>
          <w:sz w:val="24"/>
          <w:szCs w:val="24"/>
          <w:lang w:val="es-PE"/>
        </w:rPr>
        <w:t xml:space="preserve"> una ex</w:t>
      </w:r>
      <w:r w:rsidR="006E4BE4">
        <w:rPr>
          <w:sz w:val="24"/>
          <w:szCs w:val="24"/>
          <w:lang w:val="es-PE"/>
        </w:rPr>
        <w:t>c</w:t>
      </w:r>
      <w:r w:rsidR="004565F8">
        <w:rPr>
          <w:sz w:val="24"/>
          <w:szCs w:val="24"/>
          <w:lang w:val="es-PE"/>
        </w:rPr>
        <w:t>e</w:t>
      </w:r>
      <w:r w:rsidR="006E4BE4">
        <w:rPr>
          <w:sz w:val="24"/>
          <w:szCs w:val="24"/>
          <w:lang w:val="es-PE"/>
        </w:rPr>
        <w:t>p</w:t>
      </w:r>
      <w:r w:rsidR="004565F8">
        <w:rPr>
          <w:sz w:val="24"/>
          <w:szCs w:val="24"/>
          <w:lang w:val="es-PE"/>
        </w:rPr>
        <w:t>ción en el mundo de hoy, l</w:t>
      </w:r>
      <w:r w:rsidR="00420D62" w:rsidRPr="00D068A6">
        <w:rPr>
          <w:sz w:val="24"/>
          <w:szCs w:val="24"/>
          <w:lang w:val="es-PE"/>
        </w:rPr>
        <w:t xml:space="preserve">as expectativas </w:t>
      </w:r>
      <w:r w:rsidR="004565F8">
        <w:rPr>
          <w:sz w:val="24"/>
          <w:szCs w:val="24"/>
          <w:lang w:val="es-PE"/>
        </w:rPr>
        <w:t>ciudadanas</w:t>
      </w:r>
      <w:r w:rsidR="00420D62" w:rsidRPr="00D068A6">
        <w:rPr>
          <w:sz w:val="24"/>
          <w:szCs w:val="24"/>
          <w:lang w:val="es-PE"/>
        </w:rPr>
        <w:t xml:space="preserve"> </w:t>
      </w:r>
      <w:r w:rsidR="00F40667" w:rsidRPr="00D068A6">
        <w:rPr>
          <w:sz w:val="24"/>
          <w:szCs w:val="24"/>
          <w:lang w:val="es-PE"/>
        </w:rPr>
        <w:t xml:space="preserve">se tornaron </w:t>
      </w:r>
      <w:r w:rsidR="00420D62" w:rsidRPr="00D068A6">
        <w:rPr>
          <w:sz w:val="24"/>
          <w:szCs w:val="24"/>
          <w:lang w:val="es-PE"/>
        </w:rPr>
        <w:t>notoriamente negativ</w:t>
      </w:r>
      <w:r w:rsidR="004565F8">
        <w:rPr>
          <w:sz w:val="24"/>
          <w:szCs w:val="24"/>
          <w:lang w:val="es-PE"/>
        </w:rPr>
        <w:t>a</w:t>
      </w:r>
      <w:r w:rsidR="00420D62" w:rsidRPr="00D068A6">
        <w:rPr>
          <w:sz w:val="24"/>
          <w:szCs w:val="24"/>
          <w:lang w:val="es-PE"/>
        </w:rPr>
        <w:t>s</w:t>
      </w:r>
      <w:r w:rsidR="00347794">
        <w:rPr>
          <w:sz w:val="24"/>
          <w:szCs w:val="24"/>
          <w:lang w:val="es-PE"/>
        </w:rPr>
        <w:t>. Surgió</w:t>
      </w:r>
      <w:r w:rsidR="005D764B" w:rsidRPr="00D068A6">
        <w:rPr>
          <w:sz w:val="24"/>
          <w:szCs w:val="24"/>
          <w:lang w:val="es-PE"/>
        </w:rPr>
        <w:t xml:space="preserve"> </w:t>
      </w:r>
      <w:r w:rsidR="004565F8">
        <w:rPr>
          <w:sz w:val="24"/>
          <w:szCs w:val="24"/>
          <w:lang w:val="es-PE"/>
        </w:rPr>
        <w:t>una mayoría c</w:t>
      </w:r>
      <w:r w:rsidR="00347794">
        <w:rPr>
          <w:sz w:val="24"/>
          <w:szCs w:val="24"/>
          <w:lang w:val="es-PE"/>
        </w:rPr>
        <w:t>rítica</w:t>
      </w:r>
      <w:r w:rsidR="004565F8">
        <w:rPr>
          <w:sz w:val="24"/>
          <w:szCs w:val="24"/>
          <w:lang w:val="es-PE"/>
        </w:rPr>
        <w:t xml:space="preserve"> no solamente </w:t>
      </w:r>
      <w:r w:rsidR="00347794">
        <w:rPr>
          <w:sz w:val="24"/>
          <w:szCs w:val="24"/>
          <w:lang w:val="es-PE"/>
        </w:rPr>
        <w:t>con</w:t>
      </w:r>
      <w:r w:rsidR="005D764B" w:rsidRPr="00D068A6">
        <w:rPr>
          <w:sz w:val="24"/>
          <w:szCs w:val="24"/>
          <w:lang w:val="es-PE"/>
        </w:rPr>
        <w:t xml:space="preserve"> la Presiden</w:t>
      </w:r>
      <w:r w:rsidR="004565F8">
        <w:rPr>
          <w:sz w:val="24"/>
          <w:szCs w:val="24"/>
          <w:lang w:val="es-PE"/>
        </w:rPr>
        <w:t>ta</w:t>
      </w:r>
      <w:r w:rsidR="005D764B" w:rsidRPr="00D068A6">
        <w:rPr>
          <w:sz w:val="24"/>
          <w:szCs w:val="24"/>
          <w:lang w:val="es-PE"/>
        </w:rPr>
        <w:t xml:space="preserve"> y su gobierno, </w:t>
      </w:r>
      <w:r w:rsidR="004565F8">
        <w:rPr>
          <w:sz w:val="24"/>
          <w:szCs w:val="24"/>
          <w:lang w:val="es-PE"/>
        </w:rPr>
        <w:t>sino</w:t>
      </w:r>
      <w:r w:rsidR="004565F8" w:rsidRPr="00D068A6">
        <w:rPr>
          <w:sz w:val="24"/>
          <w:szCs w:val="24"/>
          <w:lang w:val="es-PE"/>
        </w:rPr>
        <w:t xml:space="preserve"> </w:t>
      </w:r>
      <w:r w:rsidR="005D764B" w:rsidRPr="00D068A6">
        <w:rPr>
          <w:sz w:val="24"/>
          <w:szCs w:val="24"/>
          <w:lang w:val="es-PE"/>
        </w:rPr>
        <w:t xml:space="preserve">también </w:t>
      </w:r>
      <w:r w:rsidR="00347794">
        <w:rPr>
          <w:sz w:val="24"/>
          <w:szCs w:val="24"/>
          <w:lang w:val="es-PE"/>
        </w:rPr>
        <w:t>con</w:t>
      </w:r>
      <w:r w:rsidR="005D764B" w:rsidRPr="00D068A6">
        <w:rPr>
          <w:sz w:val="24"/>
          <w:szCs w:val="24"/>
          <w:lang w:val="es-PE"/>
        </w:rPr>
        <w:t xml:space="preserve"> los partidos políticos, los empresarios</w:t>
      </w:r>
      <w:r w:rsidR="00C02105" w:rsidRPr="00D068A6">
        <w:rPr>
          <w:sz w:val="24"/>
          <w:szCs w:val="24"/>
          <w:lang w:val="es-PE"/>
        </w:rPr>
        <w:t>,</w:t>
      </w:r>
      <w:r w:rsidR="00347794">
        <w:rPr>
          <w:sz w:val="24"/>
          <w:szCs w:val="24"/>
          <w:lang w:val="es-PE"/>
        </w:rPr>
        <w:t xml:space="preserve"> las</w:t>
      </w:r>
      <w:r w:rsidR="00C02105" w:rsidRPr="00D068A6">
        <w:rPr>
          <w:sz w:val="24"/>
          <w:szCs w:val="24"/>
          <w:lang w:val="es-PE"/>
        </w:rPr>
        <w:t xml:space="preserve"> iglesias,</w:t>
      </w:r>
      <w:r w:rsidR="005D764B" w:rsidRPr="00D068A6">
        <w:rPr>
          <w:sz w:val="24"/>
          <w:szCs w:val="24"/>
          <w:lang w:val="es-PE"/>
        </w:rPr>
        <w:t xml:space="preserve"> y el poder judicial. </w:t>
      </w:r>
      <w:r w:rsidR="002D40CC">
        <w:rPr>
          <w:sz w:val="24"/>
          <w:szCs w:val="24"/>
          <w:lang w:val="es-PE"/>
        </w:rPr>
        <w:t>Entre los factores que contribuyeron a este escenario se incluye la falta de transparencia</w:t>
      </w:r>
      <w:r w:rsidR="00C02105" w:rsidRPr="00D068A6">
        <w:rPr>
          <w:sz w:val="24"/>
          <w:szCs w:val="24"/>
          <w:lang w:val="es-PE"/>
        </w:rPr>
        <w:t xml:space="preserve">, corrupción, fraudes, indolencia, incoherencia, agendas propias contra el bien común, permisividad y falta de ética </w:t>
      </w:r>
      <w:r w:rsidR="002D40CC">
        <w:rPr>
          <w:sz w:val="24"/>
          <w:szCs w:val="24"/>
          <w:lang w:val="es-PE"/>
        </w:rPr>
        <w:t>en</w:t>
      </w:r>
      <w:r w:rsidR="002D40CC" w:rsidRPr="00D068A6">
        <w:rPr>
          <w:sz w:val="24"/>
          <w:szCs w:val="24"/>
          <w:lang w:val="es-PE"/>
        </w:rPr>
        <w:t xml:space="preserve"> </w:t>
      </w:r>
      <w:r w:rsidR="00C02105" w:rsidRPr="00D068A6">
        <w:rPr>
          <w:sz w:val="24"/>
          <w:szCs w:val="24"/>
          <w:lang w:val="es-PE"/>
        </w:rPr>
        <w:t xml:space="preserve">diferentes sectores. </w:t>
      </w:r>
      <w:r w:rsidR="002D40CC">
        <w:rPr>
          <w:sz w:val="24"/>
          <w:szCs w:val="24"/>
          <w:lang w:val="es-PE"/>
        </w:rPr>
        <w:t>Esto resultó en un clima de d</w:t>
      </w:r>
      <w:r w:rsidR="00EA184A" w:rsidRPr="00D068A6">
        <w:rPr>
          <w:sz w:val="24"/>
          <w:szCs w:val="24"/>
          <w:lang w:val="es-PE"/>
        </w:rPr>
        <w:t>esconfianzas generalizada</w:t>
      </w:r>
      <w:r w:rsidR="002D40CC">
        <w:rPr>
          <w:sz w:val="24"/>
          <w:szCs w:val="24"/>
          <w:lang w:val="es-PE"/>
        </w:rPr>
        <w:t xml:space="preserve"> con una</w:t>
      </w:r>
      <w:r w:rsidR="00EA184A" w:rsidRPr="00D068A6">
        <w:rPr>
          <w:sz w:val="24"/>
          <w:szCs w:val="24"/>
          <w:lang w:val="es-PE"/>
        </w:rPr>
        <w:t xml:space="preserve"> tendencia a creer cualquier acusación</w:t>
      </w:r>
      <w:r w:rsidR="00EA184A" w:rsidRPr="00D068A6">
        <w:rPr>
          <w:i/>
          <w:sz w:val="24"/>
          <w:szCs w:val="24"/>
          <w:lang w:val="es-PE"/>
        </w:rPr>
        <w:t>.</w:t>
      </w:r>
      <w:r w:rsidR="00EA184A" w:rsidRPr="00D068A6">
        <w:rPr>
          <w:sz w:val="24"/>
          <w:szCs w:val="24"/>
          <w:lang w:val="es-PE"/>
        </w:rPr>
        <w:t xml:space="preserve"> </w:t>
      </w:r>
      <w:r w:rsidR="00F40667" w:rsidRPr="00D068A6">
        <w:rPr>
          <w:sz w:val="24"/>
          <w:szCs w:val="24"/>
          <w:lang w:val="es-PE"/>
        </w:rPr>
        <w:t>Todos</w:t>
      </w:r>
      <w:r w:rsidR="00EA184A" w:rsidRPr="00D068A6">
        <w:rPr>
          <w:sz w:val="24"/>
          <w:szCs w:val="24"/>
          <w:lang w:val="es-PE"/>
        </w:rPr>
        <w:t xml:space="preserve"> forman</w:t>
      </w:r>
      <w:r w:rsidR="00F40667" w:rsidRPr="00D068A6">
        <w:rPr>
          <w:sz w:val="24"/>
          <w:szCs w:val="24"/>
          <w:lang w:val="es-PE"/>
        </w:rPr>
        <w:t xml:space="preserve"> parte de un </w:t>
      </w:r>
      <w:r w:rsidR="00EA184A" w:rsidRPr="00D068A6">
        <w:rPr>
          <w:sz w:val="24"/>
          <w:szCs w:val="24"/>
          <w:lang w:val="es-PE"/>
        </w:rPr>
        <w:t xml:space="preserve">muy </w:t>
      </w:r>
      <w:r w:rsidR="00F40667" w:rsidRPr="00D068A6">
        <w:rPr>
          <w:sz w:val="24"/>
          <w:szCs w:val="24"/>
          <w:lang w:val="es-PE"/>
        </w:rPr>
        <w:t xml:space="preserve">gradual deterioro de la vida </w:t>
      </w:r>
      <w:r w:rsidR="002D40CC">
        <w:rPr>
          <w:sz w:val="24"/>
          <w:szCs w:val="24"/>
          <w:lang w:val="es-PE"/>
        </w:rPr>
        <w:t xml:space="preserve">en sociedad </w:t>
      </w:r>
      <w:r w:rsidR="00F40667" w:rsidRPr="00D068A6">
        <w:rPr>
          <w:sz w:val="24"/>
          <w:szCs w:val="24"/>
          <w:lang w:val="es-PE"/>
        </w:rPr>
        <w:t>desde fines de los  90s</w:t>
      </w:r>
      <w:r w:rsidR="00EA184A" w:rsidRPr="00D068A6">
        <w:rPr>
          <w:sz w:val="24"/>
          <w:szCs w:val="24"/>
          <w:lang w:val="es-PE"/>
        </w:rPr>
        <w:t xml:space="preserve">, pero con efectos acumulativos. Sin embargo, la reelección de la presidencia Bachelet con una gran mayoría (62% </w:t>
      </w:r>
      <w:r w:rsidR="00C63E77">
        <w:rPr>
          <w:sz w:val="24"/>
          <w:szCs w:val="24"/>
          <w:lang w:val="es-PE"/>
        </w:rPr>
        <w:t xml:space="preserve">pero del número decreciente </w:t>
      </w:r>
      <w:r w:rsidR="00EA184A" w:rsidRPr="00D068A6">
        <w:rPr>
          <w:sz w:val="24"/>
          <w:szCs w:val="24"/>
          <w:lang w:val="es-PE"/>
        </w:rPr>
        <w:t xml:space="preserve">de </w:t>
      </w:r>
      <w:r w:rsidR="00C63E77">
        <w:rPr>
          <w:sz w:val="24"/>
          <w:szCs w:val="24"/>
          <w:lang w:val="es-PE"/>
        </w:rPr>
        <w:t>votantes que ejercieron su  derecho</w:t>
      </w:r>
      <w:r w:rsidR="00EA184A" w:rsidRPr="00D068A6">
        <w:rPr>
          <w:sz w:val="24"/>
          <w:szCs w:val="24"/>
          <w:lang w:val="es-PE"/>
        </w:rPr>
        <w:t xml:space="preserve">) y su amplio apoyo en las encuestas </w:t>
      </w:r>
      <w:r w:rsidR="002D40CC">
        <w:rPr>
          <w:sz w:val="24"/>
          <w:szCs w:val="24"/>
          <w:lang w:val="es-PE"/>
        </w:rPr>
        <w:t>al in</w:t>
      </w:r>
      <w:r w:rsidR="006E4BE4">
        <w:rPr>
          <w:sz w:val="24"/>
          <w:szCs w:val="24"/>
          <w:lang w:val="es-PE"/>
        </w:rPr>
        <w:t>i</w:t>
      </w:r>
      <w:r w:rsidR="002D40CC">
        <w:rPr>
          <w:sz w:val="24"/>
          <w:szCs w:val="24"/>
          <w:lang w:val="es-PE"/>
        </w:rPr>
        <w:t>cio de su gobierno</w:t>
      </w:r>
      <w:r w:rsidR="00CB5F4D" w:rsidRPr="00D068A6">
        <w:rPr>
          <w:sz w:val="24"/>
          <w:szCs w:val="24"/>
          <w:lang w:val="es-PE"/>
        </w:rPr>
        <w:t xml:space="preserve"> (encue</w:t>
      </w:r>
      <w:r w:rsidR="0096266F" w:rsidRPr="00D068A6">
        <w:rPr>
          <w:sz w:val="24"/>
          <w:szCs w:val="24"/>
          <w:lang w:val="es-PE"/>
        </w:rPr>
        <w:t>s</w:t>
      </w:r>
      <w:r w:rsidR="00CB5F4D" w:rsidRPr="00D068A6">
        <w:rPr>
          <w:sz w:val="24"/>
          <w:szCs w:val="24"/>
          <w:lang w:val="es-PE"/>
        </w:rPr>
        <w:t xml:space="preserve">tas que también incluyen a los </w:t>
      </w:r>
      <w:r w:rsidR="00CB5F4D" w:rsidRPr="00D068A6">
        <w:rPr>
          <w:sz w:val="24"/>
          <w:szCs w:val="24"/>
          <w:lang w:val="es-PE"/>
        </w:rPr>
        <w:lastRenderedPageBreak/>
        <w:t xml:space="preserve">que  no  </w:t>
      </w:r>
      <w:r w:rsidR="00C63E77">
        <w:rPr>
          <w:sz w:val="24"/>
          <w:szCs w:val="24"/>
          <w:lang w:val="es-PE"/>
        </w:rPr>
        <w:t>votaron</w:t>
      </w:r>
      <w:r w:rsidR="00CB5F4D" w:rsidRPr="00D068A6">
        <w:rPr>
          <w:sz w:val="24"/>
          <w:szCs w:val="24"/>
          <w:lang w:val="es-PE"/>
        </w:rPr>
        <w:t>)</w:t>
      </w:r>
      <w:r w:rsidR="00EA184A" w:rsidRPr="00D068A6">
        <w:rPr>
          <w:sz w:val="24"/>
          <w:szCs w:val="24"/>
          <w:lang w:val="es-PE"/>
        </w:rPr>
        <w:t>, parecían  señalar que se iniciaba un nuevo ciclo de avances progresistas y con una sociedad reunificada. Sin embargo, a los pocos meses su popularidad estaba bajo u</w:t>
      </w:r>
      <w:r w:rsidR="00CB5F4D" w:rsidRPr="00D068A6">
        <w:rPr>
          <w:sz w:val="24"/>
          <w:szCs w:val="24"/>
          <w:lang w:val="es-PE"/>
        </w:rPr>
        <w:t xml:space="preserve">n tercio y  con cerca de dos tercios críticos. A pesar de sus </w:t>
      </w:r>
      <w:r w:rsidR="002D40CC" w:rsidRPr="00D068A6">
        <w:rPr>
          <w:sz w:val="24"/>
          <w:szCs w:val="24"/>
          <w:lang w:val="es-PE"/>
        </w:rPr>
        <w:t>i</w:t>
      </w:r>
      <w:r w:rsidR="002D40CC">
        <w:rPr>
          <w:sz w:val="24"/>
          <w:szCs w:val="24"/>
          <w:lang w:val="es-PE"/>
        </w:rPr>
        <w:t xml:space="preserve">mportantes </w:t>
      </w:r>
      <w:r w:rsidR="00CB5F4D" w:rsidRPr="00D068A6">
        <w:rPr>
          <w:sz w:val="24"/>
          <w:szCs w:val="24"/>
          <w:lang w:val="es-PE"/>
        </w:rPr>
        <w:t xml:space="preserve">efectos sobre la economía, éstos </w:t>
      </w:r>
      <w:r w:rsidR="00F40667" w:rsidRPr="00D068A6">
        <w:rPr>
          <w:sz w:val="24"/>
          <w:szCs w:val="24"/>
          <w:lang w:val="es-PE"/>
        </w:rPr>
        <w:t>t</w:t>
      </w:r>
      <w:r w:rsidR="000A6F20" w:rsidRPr="00D068A6">
        <w:rPr>
          <w:sz w:val="24"/>
          <w:szCs w:val="24"/>
          <w:lang w:val="es-PE"/>
        </w:rPr>
        <w:t>emas exceden plenamente el alcance de este artículo</w:t>
      </w:r>
      <w:r w:rsidR="008351FC">
        <w:rPr>
          <w:sz w:val="24"/>
          <w:szCs w:val="24"/>
          <w:lang w:val="es-PE"/>
        </w:rPr>
        <w:t xml:space="preserve">, </w:t>
      </w:r>
      <w:r w:rsidR="00200ADE">
        <w:rPr>
          <w:sz w:val="24"/>
          <w:szCs w:val="24"/>
          <w:lang w:val="es-PE"/>
        </w:rPr>
        <w:t>por eso</w:t>
      </w:r>
      <w:r w:rsidR="00EA184A" w:rsidRPr="00D068A6">
        <w:rPr>
          <w:sz w:val="24"/>
          <w:szCs w:val="24"/>
          <w:lang w:val="es-PE"/>
        </w:rPr>
        <w:t xml:space="preserve"> </w:t>
      </w:r>
      <w:r w:rsidR="00CB5F4D" w:rsidRPr="00D068A6">
        <w:rPr>
          <w:sz w:val="24"/>
          <w:szCs w:val="24"/>
          <w:lang w:val="es-PE"/>
        </w:rPr>
        <w:t>volvemos a la economía.</w:t>
      </w:r>
    </w:p>
    <w:p w14:paraId="7729079C" w14:textId="6B474101" w:rsidR="00EA184A" w:rsidRPr="00D068A6" w:rsidRDefault="00EA184A" w:rsidP="00EA184A">
      <w:pPr>
        <w:spacing w:line="360" w:lineRule="auto"/>
        <w:ind w:firstLine="708"/>
        <w:jc w:val="both"/>
        <w:rPr>
          <w:sz w:val="24"/>
          <w:szCs w:val="24"/>
          <w:lang w:val="es-PE"/>
        </w:rPr>
      </w:pPr>
      <w:r w:rsidRPr="00D068A6">
        <w:rPr>
          <w:sz w:val="24"/>
          <w:szCs w:val="24"/>
          <w:lang w:val="es-PE"/>
        </w:rPr>
        <w:t xml:space="preserve">Muchos analistas, </w:t>
      </w:r>
      <w:r w:rsidR="00DE65D3">
        <w:rPr>
          <w:sz w:val="24"/>
          <w:szCs w:val="24"/>
          <w:lang w:val="es-PE"/>
        </w:rPr>
        <w:t xml:space="preserve">como </w:t>
      </w:r>
      <w:r w:rsidRPr="00D068A6">
        <w:rPr>
          <w:sz w:val="24"/>
          <w:szCs w:val="24"/>
          <w:lang w:val="es-PE"/>
        </w:rPr>
        <w:t xml:space="preserve">los medios de comunicación más influyentes (predominantemente  con un sesgo neo-liberal) y </w:t>
      </w:r>
      <w:r w:rsidR="00DE65D3">
        <w:rPr>
          <w:sz w:val="24"/>
          <w:szCs w:val="24"/>
          <w:lang w:val="es-PE"/>
        </w:rPr>
        <w:t xml:space="preserve">los </w:t>
      </w:r>
      <w:r w:rsidR="008351FC">
        <w:rPr>
          <w:sz w:val="24"/>
          <w:szCs w:val="24"/>
          <w:lang w:val="es-PE"/>
        </w:rPr>
        <w:t>líderes</w:t>
      </w:r>
      <w:r w:rsidR="008351FC" w:rsidRPr="00D068A6">
        <w:rPr>
          <w:sz w:val="24"/>
          <w:szCs w:val="24"/>
          <w:lang w:val="es-PE"/>
        </w:rPr>
        <w:t xml:space="preserve"> </w:t>
      </w:r>
      <w:r w:rsidR="006E4BE4">
        <w:rPr>
          <w:sz w:val="24"/>
          <w:szCs w:val="24"/>
          <w:lang w:val="es-PE"/>
        </w:rPr>
        <w:t>gran-</w:t>
      </w:r>
      <w:r w:rsidR="00DE65D3">
        <w:rPr>
          <w:sz w:val="24"/>
          <w:szCs w:val="24"/>
          <w:lang w:val="es-PE"/>
        </w:rPr>
        <w:t xml:space="preserve">empresariales  culparon de </w:t>
      </w:r>
      <w:r w:rsidR="00CB5F4D" w:rsidRPr="00D068A6">
        <w:rPr>
          <w:sz w:val="24"/>
          <w:szCs w:val="24"/>
          <w:lang w:val="es-PE"/>
        </w:rPr>
        <w:t xml:space="preserve">la fuerza de la desaceleración y el ambiente de pesimismo </w:t>
      </w:r>
      <w:r w:rsidR="00C63E77">
        <w:rPr>
          <w:sz w:val="24"/>
          <w:szCs w:val="24"/>
          <w:lang w:val="es-PE"/>
        </w:rPr>
        <w:t>en</w:t>
      </w:r>
      <w:r w:rsidR="00CB5F4D" w:rsidRPr="00D068A6">
        <w:rPr>
          <w:sz w:val="24"/>
          <w:szCs w:val="24"/>
          <w:lang w:val="es-PE"/>
        </w:rPr>
        <w:t xml:space="preserve"> las expectativas económicas a las reformas estructurales efectuadas o en marcha: la tributaria, laboral y educacional. Aquí nos referiremos exclusivamente a la tributaria.</w:t>
      </w:r>
    </w:p>
    <w:p w14:paraId="1DC49596" w14:textId="19667385" w:rsidR="000C70FF" w:rsidRPr="00D068A6" w:rsidRDefault="000C70FF" w:rsidP="00EA184A">
      <w:pPr>
        <w:spacing w:line="360" w:lineRule="auto"/>
        <w:ind w:firstLine="708"/>
        <w:jc w:val="both"/>
        <w:rPr>
          <w:sz w:val="24"/>
          <w:szCs w:val="24"/>
          <w:lang w:val="es-PE"/>
        </w:rPr>
      </w:pPr>
    </w:p>
    <w:p w14:paraId="20B2D118" w14:textId="1B52EC40" w:rsidR="00CB5F4D" w:rsidRPr="00D068A6" w:rsidRDefault="00CB5F4D" w:rsidP="005A3472">
      <w:pPr>
        <w:pStyle w:val="Prrafodelista"/>
        <w:numPr>
          <w:ilvl w:val="0"/>
          <w:numId w:val="5"/>
        </w:numPr>
        <w:spacing w:line="360" w:lineRule="auto"/>
        <w:jc w:val="both"/>
        <w:rPr>
          <w:i/>
          <w:sz w:val="24"/>
          <w:szCs w:val="24"/>
          <w:lang w:val="es-PE"/>
        </w:rPr>
      </w:pPr>
      <w:r w:rsidRPr="00D068A6">
        <w:rPr>
          <w:i/>
          <w:sz w:val="24"/>
          <w:szCs w:val="24"/>
          <w:lang w:val="es-PE"/>
        </w:rPr>
        <w:t xml:space="preserve">La reforma tributaria de 2014 y sus </w:t>
      </w:r>
      <w:r w:rsidR="008B298E" w:rsidRPr="00D068A6">
        <w:rPr>
          <w:i/>
          <w:sz w:val="24"/>
          <w:szCs w:val="24"/>
          <w:lang w:val="es-PE"/>
        </w:rPr>
        <w:t>modificaci</w:t>
      </w:r>
      <w:r w:rsidR="00F71FC6" w:rsidRPr="00D068A6">
        <w:rPr>
          <w:i/>
          <w:sz w:val="24"/>
          <w:szCs w:val="24"/>
          <w:lang w:val="es-PE"/>
        </w:rPr>
        <w:t>o</w:t>
      </w:r>
      <w:r w:rsidR="008B298E" w:rsidRPr="00D068A6">
        <w:rPr>
          <w:i/>
          <w:sz w:val="24"/>
          <w:szCs w:val="24"/>
          <w:lang w:val="es-PE"/>
        </w:rPr>
        <w:t>n</w:t>
      </w:r>
      <w:r w:rsidRPr="00D068A6">
        <w:rPr>
          <w:i/>
          <w:sz w:val="24"/>
          <w:szCs w:val="24"/>
          <w:lang w:val="es-PE"/>
        </w:rPr>
        <w:t>es</w:t>
      </w:r>
      <w:r w:rsidR="00EC0B62" w:rsidRPr="00D068A6">
        <w:rPr>
          <w:i/>
          <w:sz w:val="24"/>
          <w:szCs w:val="24"/>
          <w:lang w:val="es-PE"/>
        </w:rPr>
        <w:t xml:space="preserve"> </w:t>
      </w:r>
    </w:p>
    <w:p w14:paraId="7F314840" w14:textId="5B5EE8A1" w:rsidR="00213070" w:rsidRPr="00D068A6" w:rsidRDefault="001F08E0" w:rsidP="00213070">
      <w:pPr>
        <w:spacing w:line="360" w:lineRule="auto"/>
        <w:jc w:val="both"/>
        <w:rPr>
          <w:sz w:val="24"/>
          <w:szCs w:val="24"/>
          <w:lang w:val="es-PE"/>
        </w:rPr>
      </w:pPr>
      <w:r>
        <w:rPr>
          <w:sz w:val="24"/>
          <w:szCs w:val="24"/>
          <w:lang w:val="es-PE"/>
        </w:rPr>
        <w:t xml:space="preserve">En 1990, inmediatamente después del retorno a la democracia, </w:t>
      </w:r>
      <w:r w:rsidR="00213070" w:rsidRPr="00D068A6">
        <w:rPr>
          <w:sz w:val="24"/>
          <w:szCs w:val="24"/>
          <w:lang w:val="es-PE"/>
        </w:rPr>
        <w:t xml:space="preserve">Chile </w:t>
      </w:r>
      <w:r>
        <w:rPr>
          <w:sz w:val="24"/>
          <w:szCs w:val="24"/>
          <w:lang w:val="es-PE"/>
        </w:rPr>
        <w:t xml:space="preserve">implementó </w:t>
      </w:r>
      <w:r w:rsidR="00213070" w:rsidRPr="00D068A6">
        <w:rPr>
          <w:sz w:val="24"/>
          <w:szCs w:val="24"/>
          <w:lang w:val="es-PE"/>
        </w:rPr>
        <w:t xml:space="preserve">una </w:t>
      </w:r>
      <w:r>
        <w:rPr>
          <w:sz w:val="24"/>
          <w:szCs w:val="24"/>
          <w:lang w:val="es-PE"/>
        </w:rPr>
        <w:t xml:space="preserve">importante </w:t>
      </w:r>
      <w:r w:rsidR="00213070" w:rsidRPr="00D068A6">
        <w:rPr>
          <w:sz w:val="24"/>
          <w:szCs w:val="24"/>
          <w:lang w:val="es-PE"/>
        </w:rPr>
        <w:t xml:space="preserve">reforma tributaria. El principal cambio contempló la reimplantación del  </w:t>
      </w:r>
      <w:r>
        <w:rPr>
          <w:sz w:val="24"/>
          <w:szCs w:val="24"/>
          <w:lang w:val="es-PE"/>
        </w:rPr>
        <w:t>impuesto</w:t>
      </w:r>
      <w:r w:rsidRPr="00D068A6">
        <w:rPr>
          <w:sz w:val="24"/>
          <w:szCs w:val="24"/>
          <w:lang w:val="es-PE"/>
        </w:rPr>
        <w:t xml:space="preserve"> </w:t>
      </w:r>
      <w:r w:rsidR="007D2203" w:rsidRPr="00D068A6">
        <w:rPr>
          <w:sz w:val="24"/>
          <w:szCs w:val="24"/>
          <w:lang w:val="es-PE"/>
        </w:rPr>
        <w:t>--</w:t>
      </w:r>
      <w:r w:rsidR="00213070" w:rsidRPr="00D068A6">
        <w:rPr>
          <w:sz w:val="24"/>
          <w:szCs w:val="24"/>
          <w:lang w:val="es-PE"/>
        </w:rPr>
        <w:t xml:space="preserve"> abolido </w:t>
      </w:r>
      <w:r w:rsidR="002E5663" w:rsidRPr="00D068A6">
        <w:rPr>
          <w:sz w:val="24"/>
          <w:szCs w:val="24"/>
          <w:lang w:val="es-PE"/>
        </w:rPr>
        <w:t xml:space="preserve">por la dictadura </w:t>
      </w:r>
      <w:r w:rsidR="00213070" w:rsidRPr="00D068A6">
        <w:rPr>
          <w:sz w:val="24"/>
          <w:szCs w:val="24"/>
          <w:lang w:val="es-PE"/>
        </w:rPr>
        <w:t>en 1988</w:t>
      </w:r>
      <w:r w:rsidR="007D2203" w:rsidRPr="00D068A6">
        <w:rPr>
          <w:sz w:val="24"/>
          <w:szCs w:val="24"/>
          <w:lang w:val="es-PE"/>
        </w:rPr>
        <w:t>--</w:t>
      </w:r>
      <w:r w:rsidR="00213070" w:rsidRPr="00D068A6">
        <w:rPr>
          <w:sz w:val="24"/>
          <w:szCs w:val="24"/>
          <w:lang w:val="es-PE"/>
        </w:rPr>
        <w:t xml:space="preserve">, sobre las utilidades de las empresas, además elevando la </w:t>
      </w:r>
      <w:r w:rsidR="002E5663" w:rsidRPr="00D068A6">
        <w:rPr>
          <w:sz w:val="24"/>
          <w:szCs w:val="24"/>
          <w:lang w:val="es-PE"/>
        </w:rPr>
        <w:t xml:space="preserve">anterior </w:t>
      </w:r>
      <w:r w:rsidR="00213070" w:rsidRPr="00D068A6">
        <w:rPr>
          <w:sz w:val="24"/>
          <w:szCs w:val="24"/>
          <w:lang w:val="es-PE"/>
        </w:rPr>
        <w:t xml:space="preserve">tasa de 10% a un 15%; junto con ello, hubo un alza de dos puntos porcentuales (de 16 a 18%) </w:t>
      </w:r>
      <w:r w:rsidR="00343254" w:rsidRPr="00D068A6">
        <w:rPr>
          <w:sz w:val="24"/>
          <w:szCs w:val="24"/>
          <w:lang w:val="es-PE"/>
        </w:rPr>
        <w:t>del</w:t>
      </w:r>
      <w:r w:rsidR="00213070" w:rsidRPr="00D068A6">
        <w:rPr>
          <w:sz w:val="24"/>
          <w:szCs w:val="24"/>
          <w:lang w:val="es-PE"/>
        </w:rPr>
        <w:t xml:space="preserve"> impuesto al valor agregado (IVA).</w:t>
      </w:r>
      <w:r w:rsidR="00213070" w:rsidRPr="00D068A6">
        <w:rPr>
          <w:rStyle w:val="Refdenotaalpie"/>
          <w:sz w:val="24"/>
          <w:szCs w:val="24"/>
          <w:lang w:val="es-PE"/>
        </w:rPr>
        <w:footnoteReference w:id="20"/>
      </w:r>
      <w:r w:rsidR="00213070" w:rsidRPr="00D068A6">
        <w:rPr>
          <w:sz w:val="24"/>
          <w:szCs w:val="24"/>
          <w:lang w:val="es-PE"/>
        </w:rPr>
        <w:t xml:space="preserve"> El </w:t>
      </w:r>
      <w:r w:rsidR="006E4BE4">
        <w:rPr>
          <w:sz w:val="24"/>
          <w:szCs w:val="24"/>
          <w:lang w:val="es-PE"/>
        </w:rPr>
        <w:t xml:space="preserve">proyecto de </w:t>
      </w:r>
      <w:r w:rsidR="00213070" w:rsidRPr="00D068A6">
        <w:rPr>
          <w:sz w:val="24"/>
          <w:szCs w:val="24"/>
          <w:lang w:val="es-PE"/>
        </w:rPr>
        <w:t xml:space="preserve">impuesto a las utilidades mantuvo el </w:t>
      </w:r>
      <w:r w:rsidR="00343254" w:rsidRPr="00D068A6">
        <w:rPr>
          <w:sz w:val="24"/>
          <w:szCs w:val="24"/>
          <w:lang w:val="es-PE"/>
        </w:rPr>
        <w:t xml:space="preserve">sistema </w:t>
      </w:r>
      <w:r w:rsidR="00343254" w:rsidRPr="00D068A6">
        <w:rPr>
          <w:i/>
          <w:sz w:val="24"/>
          <w:szCs w:val="24"/>
          <w:lang w:val="es-PE"/>
        </w:rPr>
        <w:t>integrado</w:t>
      </w:r>
      <w:r w:rsidR="00343254" w:rsidRPr="00D068A6">
        <w:rPr>
          <w:sz w:val="24"/>
          <w:szCs w:val="24"/>
          <w:lang w:val="es-PE"/>
        </w:rPr>
        <w:t xml:space="preserve"> </w:t>
      </w:r>
      <w:r w:rsidR="0024154B" w:rsidRPr="00D068A6">
        <w:rPr>
          <w:sz w:val="24"/>
          <w:szCs w:val="24"/>
          <w:lang w:val="es-PE"/>
        </w:rPr>
        <w:t>adoptado en</w:t>
      </w:r>
      <w:r w:rsidR="00213070" w:rsidRPr="00D068A6">
        <w:rPr>
          <w:sz w:val="24"/>
          <w:szCs w:val="24"/>
          <w:lang w:val="es-PE"/>
        </w:rPr>
        <w:t xml:space="preserve"> la reforma de 1984 </w:t>
      </w:r>
      <w:r w:rsidR="00213070" w:rsidRPr="00DE65D3">
        <w:rPr>
          <w:sz w:val="24"/>
          <w:szCs w:val="24"/>
          <w:lang w:val="es-PE"/>
        </w:rPr>
        <w:t>de la dictadura</w:t>
      </w:r>
      <w:r w:rsidR="00DE65D3">
        <w:rPr>
          <w:i/>
          <w:sz w:val="24"/>
          <w:szCs w:val="24"/>
          <w:lang w:val="es-PE"/>
        </w:rPr>
        <w:t xml:space="preserve">. </w:t>
      </w:r>
      <w:r w:rsidR="00DE65D3">
        <w:rPr>
          <w:sz w:val="24"/>
          <w:szCs w:val="24"/>
          <w:lang w:val="es-PE"/>
        </w:rPr>
        <w:t xml:space="preserve">Este sistema reintegra </w:t>
      </w:r>
      <w:r w:rsidR="00213070" w:rsidRPr="00DE65D3">
        <w:rPr>
          <w:sz w:val="24"/>
          <w:szCs w:val="24"/>
          <w:lang w:val="es-PE"/>
        </w:rPr>
        <w:t>el tributo pagado por la empresa al Servicio de Impuestos Internos (SII</w:t>
      </w:r>
      <w:r w:rsidR="00213070" w:rsidRPr="006E4BE4">
        <w:rPr>
          <w:sz w:val="24"/>
          <w:szCs w:val="24"/>
          <w:lang w:val="es-PE"/>
        </w:rPr>
        <w:t>)</w:t>
      </w:r>
      <w:r w:rsidR="00213070" w:rsidRPr="00D068A6">
        <w:rPr>
          <w:sz w:val="24"/>
          <w:szCs w:val="24"/>
          <w:lang w:val="es-PE"/>
        </w:rPr>
        <w:t xml:space="preserve"> en forma de  un </w:t>
      </w:r>
      <w:r w:rsidR="00213070" w:rsidRPr="00D068A6">
        <w:rPr>
          <w:i/>
          <w:sz w:val="24"/>
          <w:szCs w:val="24"/>
          <w:lang w:val="es-PE"/>
        </w:rPr>
        <w:t>crédito</w:t>
      </w:r>
      <w:r w:rsidR="00213070" w:rsidRPr="00D068A6">
        <w:rPr>
          <w:sz w:val="24"/>
          <w:szCs w:val="24"/>
          <w:lang w:val="es-PE"/>
        </w:rPr>
        <w:t xml:space="preserve"> al contribuyente del impuesto personal cuando declara la recepción de utilidades distribuidas por las empresas (el Impuesto Global Complementario anual, IGC). Allí se gravan todas las rentas efectivamente recibidas</w:t>
      </w:r>
      <w:r w:rsidR="006E4BE4">
        <w:rPr>
          <w:sz w:val="24"/>
          <w:szCs w:val="24"/>
          <w:lang w:val="es-PE"/>
        </w:rPr>
        <w:t xml:space="preserve"> y declaradas</w:t>
      </w:r>
      <w:r w:rsidR="00213070" w:rsidRPr="00D068A6">
        <w:rPr>
          <w:sz w:val="24"/>
          <w:szCs w:val="24"/>
          <w:lang w:val="es-PE"/>
        </w:rPr>
        <w:t xml:space="preserve">. Adicionalmente, persistió la existencia de  sociedades de inversión, </w:t>
      </w:r>
      <w:r w:rsidR="00343254" w:rsidRPr="00D068A6">
        <w:rPr>
          <w:sz w:val="24"/>
          <w:szCs w:val="24"/>
          <w:lang w:val="es-PE"/>
        </w:rPr>
        <w:t xml:space="preserve">en </w:t>
      </w:r>
      <w:r w:rsidR="00213070" w:rsidRPr="00D068A6">
        <w:rPr>
          <w:sz w:val="24"/>
          <w:szCs w:val="24"/>
          <w:lang w:val="es-PE"/>
        </w:rPr>
        <w:t xml:space="preserve">las que </w:t>
      </w:r>
      <w:r w:rsidR="00343254" w:rsidRPr="00D068A6">
        <w:rPr>
          <w:sz w:val="24"/>
          <w:szCs w:val="24"/>
          <w:lang w:val="es-PE"/>
        </w:rPr>
        <w:t>se puede</w:t>
      </w:r>
      <w:r w:rsidR="00213070" w:rsidRPr="00D068A6">
        <w:rPr>
          <w:sz w:val="24"/>
          <w:szCs w:val="24"/>
          <w:lang w:val="es-PE"/>
        </w:rPr>
        <w:t xml:space="preserve"> co</w:t>
      </w:r>
      <w:r w:rsidR="00343254" w:rsidRPr="00D068A6">
        <w:rPr>
          <w:sz w:val="24"/>
          <w:szCs w:val="24"/>
          <w:lang w:val="es-PE"/>
        </w:rPr>
        <w:t>ntabilizar</w:t>
      </w:r>
      <w:r w:rsidR="00213070" w:rsidRPr="00D068A6">
        <w:rPr>
          <w:sz w:val="24"/>
          <w:szCs w:val="24"/>
          <w:lang w:val="es-PE"/>
        </w:rPr>
        <w:t xml:space="preserve">  esas utilidades distribuidas como una </w:t>
      </w:r>
      <w:r w:rsidR="00213070" w:rsidRPr="00D068A6">
        <w:rPr>
          <w:i/>
          <w:sz w:val="24"/>
          <w:szCs w:val="24"/>
          <w:lang w:val="es-PE"/>
        </w:rPr>
        <w:t xml:space="preserve">reinversión en </w:t>
      </w:r>
      <w:r w:rsidR="002E5663" w:rsidRPr="00D068A6">
        <w:rPr>
          <w:i/>
          <w:sz w:val="24"/>
          <w:szCs w:val="24"/>
          <w:lang w:val="es-PE"/>
        </w:rPr>
        <w:t>una</w:t>
      </w:r>
      <w:r w:rsidR="00213070" w:rsidRPr="00D068A6">
        <w:rPr>
          <w:i/>
          <w:sz w:val="24"/>
          <w:szCs w:val="24"/>
          <w:lang w:val="es-PE"/>
        </w:rPr>
        <w:t xml:space="preserve"> sociedad</w:t>
      </w:r>
      <w:r w:rsidR="002E5663" w:rsidRPr="00D068A6">
        <w:rPr>
          <w:i/>
          <w:sz w:val="24"/>
          <w:szCs w:val="24"/>
          <w:lang w:val="es-PE"/>
        </w:rPr>
        <w:t xml:space="preserve"> personal</w:t>
      </w:r>
      <w:r w:rsidR="00213070" w:rsidRPr="00D068A6">
        <w:rPr>
          <w:sz w:val="24"/>
          <w:szCs w:val="24"/>
          <w:lang w:val="es-PE"/>
        </w:rPr>
        <w:t xml:space="preserve"> con lo que se evita declararlas en el </w:t>
      </w:r>
      <w:r w:rsidR="00496075" w:rsidRPr="00D068A6">
        <w:rPr>
          <w:sz w:val="24"/>
          <w:szCs w:val="24"/>
          <w:lang w:val="es-PE"/>
        </w:rPr>
        <w:t>IGC</w:t>
      </w:r>
      <w:r w:rsidR="00213070" w:rsidRPr="00D068A6">
        <w:rPr>
          <w:sz w:val="24"/>
          <w:szCs w:val="24"/>
          <w:lang w:val="es-PE"/>
        </w:rPr>
        <w:t xml:space="preserve"> hasta que </w:t>
      </w:r>
      <w:r w:rsidR="00C63E77">
        <w:rPr>
          <w:sz w:val="24"/>
          <w:szCs w:val="24"/>
          <w:lang w:val="es-PE"/>
        </w:rPr>
        <w:t xml:space="preserve">se </w:t>
      </w:r>
      <w:r w:rsidR="00213070" w:rsidRPr="00D068A6">
        <w:rPr>
          <w:sz w:val="24"/>
          <w:szCs w:val="24"/>
          <w:lang w:val="es-PE"/>
        </w:rPr>
        <w:t xml:space="preserve">las retira. En el registro de utilidades no distribuidas por empresas y sociedades de inversión (llamado FUT), casi la mitad corresponde a éstas, que </w:t>
      </w:r>
      <w:r w:rsidR="00213070" w:rsidRPr="00D068A6">
        <w:rPr>
          <w:sz w:val="24"/>
          <w:szCs w:val="24"/>
          <w:lang w:val="es-PE"/>
        </w:rPr>
        <w:lastRenderedPageBreak/>
        <w:t>son más bien “empresas de papel</w:t>
      </w:r>
      <w:r w:rsidR="002E5663" w:rsidRPr="00D068A6">
        <w:rPr>
          <w:sz w:val="24"/>
          <w:szCs w:val="24"/>
          <w:lang w:val="es-PE"/>
        </w:rPr>
        <w:t>”</w:t>
      </w:r>
      <w:r w:rsidR="00213070" w:rsidRPr="00D068A6">
        <w:rPr>
          <w:sz w:val="24"/>
          <w:szCs w:val="24"/>
          <w:lang w:val="es-PE"/>
        </w:rPr>
        <w:t xml:space="preserve"> que permiten postergar o eludir impuestos. El 78% de sus socios se encuentra en el decil de contribuyentes de más altos ingresos” (Agostini, 2008). La evidencia </w:t>
      </w:r>
      <w:r w:rsidR="00343254" w:rsidRPr="00D068A6">
        <w:rPr>
          <w:sz w:val="24"/>
          <w:szCs w:val="24"/>
          <w:lang w:val="es-PE"/>
        </w:rPr>
        <w:t>disponible antes de la reforma</w:t>
      </w:r>
      <w:r w:rsidR="00C63E77">
        <w:rPr>
          <w:sz w:val="24"/>
          <w:szCs w:val="24"/>
          <w:lang w:val="es-PE"/>
        </w:rPr>
        <w:t xml:space="preserve"> del 2014</w:t>
      </w:r>
      <w:r w:rsidR="00343254" w:rsidRPr="00D068A6">
        <w:rPr>
          <w:sz w:val="24"/>
          <w:szCs w:val="24"/>
          <w:lang w:val="es-PE"/>
        </w:rPr>
        <w:t xml:space="preserve"> </w:t>
      </w:r>
      <w:r w:rsidR="00213070" w:rsidRPr="00D068A6">
        <w:rPr>
          <w:sz w:val="24"/>
          <w:szCs w:val="24"/>
          <w:lang w:val="es-PE"/>
        </w:rPr>
        <w:t xml:space="preserve">mostraba que, a diferencia de las economías  desarrolladas, el  sistema chileno no poseía fuerza distributiva, en parte por la debilidad del impuesto a la renta. </w:t>
      </w:r>
    </w:p>
    <w:p w14:paraId="20ADB5DD" w14:textId="54166418" w:rsidR="00213070" w:rsidRPr="00D068A6" w:rsidRDefault="00213070" w:rsidP="00213070">
      <w:pPr>
        <w:spacing w:line="360" w:lineRule="auto"/>
        <w:ind w:firstLine="708"/>
        <w:jc w:val="both"/>
        <w:rPr>
          <w:sz w:val="24"/>
          <w:szCs w:val="24"/>
          <w:lang w:val="es-PE"/>
        </w:rPr>
      </w:pPr>
      <w:r w:rsidRPr="00D068A6">
        <w:rPr>
          <w:sz w:val="24"/>
          <w:szCs w:val="24"/>
          <w:lang w:val="es-PE"/>
        </w:rPr>
        <w:t>La reforma impulsada por el nuevo gobierno buscó elevar la recaudación en  3% del PIB y hacerlo de manera fuertemente distributiva; un tercio de la recaudación sería para cubrir el deterioro fiscal heredado del gobierno anterior. El proyecto comprendió una serie de impuestos de diversa naturaleza, el principal de los cuales fue a las utilidades de las empresas: la tasa de 20% se elevaba a 25%  manteniéndose el sistema integrado</w:t>
      </w:r>
      <w:r w:rsidR="001F08E0">
        <w:rPr>
          <w:sz w:val="24"/>
          <w:szCs w:val="24"/>
          <w:lang w:val="es-PE"/>
        </w:rPr>
        <w:t xml:space="preserve"> y permitiendo al </w:t>
      </w:r>
      <w:r w:rsidRPr="00D068A6">
        <w:rPr>
          <w:sz w:val="24"/>
          <w:szCs w:val="24"/>
          <w:lang w:val="es-PE"/>
        </w:rPr>
        <w:t>contribuyente personal recib</w:t>
      </w:r>
      <w:r w:rsidR="001F08E0">
        <w:rPr>
          <w:sz w:val="24"/>
          <w:szCs w:val="24"/>
          <w:lang w:val="es-PE"/>
        </w:rPr>
        <w:t>ir</w:t>
      </w:r>
      <w:r w:rsidRPr="00D068A6">
        <w:rPr>
          <w:sz w:val="24"/>
          <w:szCs w:val="24"/>
          <w:lang w:val="es-PE"/>
        </w:rPr>
        <w:t xml:space="preserve"> el crédito tributario del 25%, pero en el IGC ahora debía pagar impuesto por la totalidad de su participación  en las utilidades de la empresa o </w:t>
      </w:r>
      <w:r w:rsidRPr="00D068A6">
        <w:rPr>
          <w:i/>
          <w:sz w:val="24"/>
          <w:szCs w:val="24"/>
          <w:lang w:val="es-PE"/>
        </w:rPr>
        <w:t>utilidades devengadas</w:t>
      </w:r>
      <w:r w:rsidR="00343254" w:rsidRPr="00D068A6">
        <w:rPr>
          <w:i/>
          <w:sz w:val="24"/>
          <w:szCs w:val="24"/>
          <w:lang w:val="es-PE"/>
        </w:rPr>
        <w:t xml:space="preserve"> (atribuidas</w:t>
      </w:r>
      <w:r w:rsidR="00343254" w:rsidRPr="00D068A6">
        <w:rPr>
          <w:sz w:val="24"/>
          <w:szCs w:val="24"/>
          <w:lang w:val="es-PE"/>
        </w:rPr>
        <w:t>, en el lenguaje de la reforma)</w:t>
      </w:r>
      <w:r w:rsidRPr="00D068A6">
        <w:rPr>
          <w:sz w:val="24"/>
          <w:szCs w:val="24"/>
          <w:lang w:val="es-PE"/>
        </w:rPr>
        <w:t>.</w:t>
      </w:r>
      <w:r w:rsidR="0078348A" w:rsidRPr="00D068A6">
        <w:rPr>
          <w:rStyle w:val="Refdenotaalpie"/>
          <w:sz w:val="24"/>
          <w:szCs w:val="24"/>
          <w:lang w:val="es-PE"/>
        </w:rPr>
        <w:footnoteReference w:id="21"/>
      </w:r>
      <w:r w:rsidRPr="00D068A6">
        <w:rPr>
          <w:sz w:val="24"/>
          <w:szCs w:val="24"/>
          <w:lang w:val="es-PE"/>
        </w:rPr>
        <w:t xml:space="preserve"> </w:t>
      </w:r>
    </w:p>
    <w:p w14:paraId="4326A771" w14:textId="4577391D" w:rsidR="00213070" w:rsidRPr="00D068A6" w:rsidRDefault="00DC4913" w:rsidP="00213070">
      <w:pPr>
        <w:spacing w:line="360" w:lineRule="auto"/>
        <w:ind w:firstLine="708"/>
        <w:jc w:val="both"/>
        <w:rPr>
          <w:sz w:val="24"/>
          <w:szCs w:val="24"/>
          <w:lang w:val="es-PE"/>
        </w:rPr>
      </w:pPr>
      <w:r w:rsidRPr="00D068A6">
        <w:rPr>
          <w:sz w:val="24"/>
          <w:szCs w:val="24"/>
          <w:lang w:val="es-PE"/>
        </w:rPr>
        <w:t>E</w:t>
      </w:r>
      <w:r>
        <w:rPr>
          <w:sz w:val="24"/>
          <w:szCs w:val="24"/>
          <w:lang w:val="es-PE"/>
        </w:rPr>
        <w:t>l</w:t>
      </w:r>
      <w:r w:rsidRPr="00D068A6">
        <w:rPr>
          <w:sz w:val="24"/>
          <w:szCs w:val="24"/>
          <w:lang w:val="es-PE"/>
        </w:rPr>
        <w:t xml:space="preserve"> </w:t>
      </w:r>
      <w:r w:rsidR="00213070" w:rsidRPr="00D068A6">
        <w:rPr>
          <w:sz w:val="24"/>
          <w:szCs w:val="24"/>
          <w:lang w:val="es-PE"/>
        </w:rPr>
        <w:t xml:space="preserve">tema de las utilidades devengadas fue el foco de la intensa </w:t>
      </w:r>
      <w:r>
        <w:rPr>
          <w:sz w:val="24"/>
          <w:szCs w:val="24"/>
          <w:lang w:val="es-PE"/>
        </w:rPr>
        <w:t>oposición</w:t>
      </w:r>
      <w:r w:rsidRPr="00D068A6">
        <w:rPr>
          <w:sz w:val="24"/>
          <w:szCs w:val="24"/>
          <w:lang w:val="es-PE"/>
        </w:rPr>
        <w:t xml:space="preserve"> </w:t>
      </w:r>
      <w:r w:rsidR="00213070" w:rsidRPr="00D068A6">
        <w:rPr>
          <w:sz w:val="24"/>
          <w:szCs w:val="24"/>
          <w:lang w:val="es-PE"/>
        </w:rPr>
        <w:t>de las grandes organizaciones empresariales y de la derecha contra el proyecto. Un punto enfatizado</w:t>
      </w:r>
      <w:r>
        <w:rPr>
          <w:sz w:val="24"/>
          <w:szCs w:val="24"/>
          <w:lang w:val="es-PE"/>
        </w:rPr>
        <w:t>,</w:t>
      </w:r>
      <w:r w:rsidRPr="00DC4913">
        <w:rPr>
          <w:sz w:val="24"/>
          <w:szCs w:val="24"/>
          <w:lang w:val="es-PE"/>
        </w:rPr>
        <w:t xml:space="preserve"> </w:t>
      </w:r>
      <w:r w:rsidRPr="00D068A6">
        <w:rPr>
          <w:sz w:val="24"/>
          <w:szCs w:val="24"/>
          <w:lang w:val="es-PE"/>
        </w:rPr>
        <w:t>sin fundamento</w:t>
      </w:r>
      <w:r>
        <w:rPr>
          <w:sz w:val="24"/>
          <w:szCs w:val="24"/>
          <w:lang w:val="es-PE"/>
        </w:rPr>
        <w:t>,</w:t>
      </w:r>
      <w:r w:rsidR="00213070" w:rsidRPr="00D068A6">
        <w:rPr>
          <w:sz w:val="24"/>
          <w:szCs w:val="24"/>
          <w:lang w:val="es-PE"/>
        </w:rPr>
        <w:t xml:space="preserve"> en los medios de comunicación era que la reforma la sufrirían las PYMEs</w:t>
      </w:r>
      <w:r w:rsidR="00C43DE1" w:rsidRPr="00D068A6">
        <w:rPr>
          <w:sz w:val="24"/>
          <w:szCs w:val="24"/>
          <w:lang w:val="es-PE"/>
        </w:rPr>
        <w:t>, la clase media</w:t>
      </w:r>
      <w:r w:rsidR="00213070" w:rsidRPr="00D068A6">
        <w:rPr>
          <w:sz w:val="24"/>
          <w:szCs w:val="24"/>
          <w:lang w:val="es-PE"/>
        </w:rPr>
        <w:t xml:space="preserve"> y los sectores de menores ingresos.</w:t>
      </w:r>
      <w:r w:rsidR="00213070" w:rsidRPr="00D068A6">
        <w:rPr>
          <w:rStyle w:val="Refdenotaalpie"/>
          <w:sz w:val="24"/>
          <w:szCs w:val="24"/>
          <w:lang w:val="es-PE"/>
        </w:rPr>
        <w:footnoteReference w:id="22"/>
      </w:r>
      <w:r w:rsidR="00213070" w:rsidRPr="00D068A6">
        <w:rPr>
          <w:sz w:val="24"/>
          <w:szCs w:val="24"/>
          <w:lang w:val="es-PE"/>
        </w:rPr>
        <w:t xml:space="preserve"> Lo efectivo es que la reforma planteada era nítidamente progresiva, </w:t>
      </w:r>
      <w:r w:rsidR="00A8445E">
        <w:rPr>
          <w:sz w:val="24"/>
          <w:szCs w:val="24"/>
          <w:lang w:val="es-PE"/>
        </w:rPr>
        <w:t>pues</w:t>
      </w:r>
      <w:r w:rsidR="00213070" w:rsidRPr="00D068A6">
        <w:rPr>
          <w:sz w:val="24"/>
          <w:szCs w:val="24"/>
          <w:lang w:val="es-PE"/>
        </w:rPr>
        <w:t xml:space="preserve"> gravaba </w:t>
      </w:r>
      <w:r w:rsidR="00A8445E">
        <w:rPr>
          <w:sz w:val="24"/>
          <w:szCs w:val="24"/>
          <w:lang w:val="es-PE"/>
        </w:rPr>
        <w:t xml:space="preserve">con mayor intensidad </w:t>
      </w:r>
      <w:r w:rsidR="00213070" w:rsidRPr="00D068A6">
        <w:rPr>
          <w:sz w:val="24"/>
          <w:szCs w:val="24"/>
          <w:lang w:val="es-PE"/>
        </w:rPr>
        <w:t xml:space="preserve">la renta del capital, que es más concentrada  que los ingresos del trabajo. Sin embargo, </w:t>
      </w:r>
      <w:r w:rsidR="00C66941" w:rsidRPr="00D068A6">
        <w:rPr>
          <w:sz w:val="24"/>
          <w:szCs w:val="24"/>
          <w:lang w:val="es-PE"/>
        </w:rPr>
        <w:t xml:space="preserve">es evidente que </w:t>
      </w:r>
      <w:r w:rsidR="00213070" w:rsidRPr="00D068A6">
        <w:rPr>
          <w:sz w:val="24"/>
          <w:szCs w:val="24"/>
          <w:lang w:val="es-PE"/>
        </w:rPr>
        <w:t xml:space="preserve">gravaba con 5 puntos adicionales las utilidades reinvertidas restando caja a la empresa y en el IGC se les </w:t>
      </w:r>
      <w:r w:rsidR="00B71FD9" w:rsidRPr="00D068A6">
        <w:rPr>
          <w:sz w:val="24"/>
          <w:szCs w:val="24"/>
          <w:lang w:val="es-PE"/>
        </w:rPr>
        <w:t>reintegraba</w:t>
      </w:r>
      <w:r w:rsidR="00213070" w:rsidRPr="00D068A6">
        <w:rPr>
          <w:sz w:val="24"/>
          <w:szCs w:val="24"/>
          <w:lang w:val="es-PE"/>
        </w:rPr>
        <w:t xml:space="preserve"> </w:t>
      </w:r>
      <w:r w:rsidR="001E7C35" w:rsidRPr="00D068A6">
        <w:rPr>
          <w:sz w:val="24"/>
          <w:szCs w:val="24"/>
          <w:lang w:val="es-PE"/>
        </w:rPr>
        <w:t xml:space="preserve">(acreditaba) </w:t>
      </w:r>
      <w:r w:rsidR="00213070" w:rsidRPr="00D068A6">
        <w:rPr>
          <w:sz w:val="24"/>
          <w:szCs w:val="24"/>
          <w:lang w:val="es-PE"/>
        </w:rPr>
        <w:t xml:space="preserve">a las personas pero tributaban sobre lo devengado. </w:t>
      </w:r>
      <w:r>
        <w:rPr>
          <w:sz w:val="24"/>
          <w:szCs w:val="24"/>
          <w:lang w:val="es-PE"/>
        </w:rPr>
        <w:t>En otras palabras, el efecto neto sería negativo para</w:t>
      </w:r>
      <w:r w:rsidR="00213070" w:rsidRPr="00D068A6">
        <w:rPr>
          <w:sz w:val="24"/>
          <w:szCs w:val="24"/>
          <w:lang w:val="es-PE"/>
        </w:rPr>
        <w:t xml:space="preserve"> la reinversión, mientras </w:t>
      </w:r>
      <w:r w:rsidR="00951E4F">
        <w:rPr>
          <w:sz w:val="24"/>
          <w:szCs w:val="24"/>
          <w:lang w:val="es-PE"/>
        </w:rPr>
        <w:t xml:space="preserve">el generoso reembolso a los receptores de </w:t>
      </w:r>
      <w:r w:rsidR="00213070" w:rsidRPr="00D068A6">
        <w:rPr>
          <w:sz w:val="24"/>
          <w:szCs w:val="24"/>
          <w:lang w:val="es-PE"/>
        </w:rPr>
        <w:t xml:space="preserve">la distribución de utilidades quedaba sin  modificación. </w:t>
      </w:r>
    </w:p>
    <w:p w14:paraId="27320ED5" w14:textId="71669318" w:rsidR="00B71FD9" w:rsidRPr="00D068A6" w:rsidRDefault="00B71FD9" w:rsidP="00B71FD9">
      <w:pPr>
        <w:spacing w:line="360" w:lineRule="auto"/>
        <w:ind w:firstLine="708"/>
        <w:jc w:val="both"/>
        <w:rPr>
          <w:sz w:val="24"/>
          <w:szCs w:val="24"/>
          <w:lang w:val="es-PE"/>
        </w:rPr>
      </w:pPr>
      <w:r w:rsidRPr="00D068A6">
        <w:rPr>
          <w:sz w:val="24"/>
          <w:szCs w:val="24"/>
          <w:lang w:val="es-PE"/>
        </w:rPr>
        <w:t xml:space="preserve">Luego de  </w:t>
      </w:r>
      <w:r w:rsidR="00DC4913">
        <w:rPr>
          <w:sz w:val="24"/>
          <w:szCs w:val="24"/>
          <w:lang w:val="es-PE"/>
        </w:rPr>
        <w:t>difíciles</w:t>
      </w:r>
      <w:r w:rsidR="00DC4913" w:rsidRPr="00D068A6">
        <w:rPr>
          <w:sz w:val="24"/>
          <w:szCs w:val="24"/>
          <w:lang w:val="es-PE"/>
        </w:rPr>
        <w:t xml:space="preserve">  </w:t>
      </w:r>
      <w:r w:rsidRPr="00D068A6">
        <w:rPr>
          <w:sz w:val="24"/>
          <w:szCs w:val="24"/>
          <w:lang w:val="es-PE"/>
        </w:rPr>
        <w:t xml:space="preserve">negociaciones y </w:t>
      </w:r>
      <w:r w:rsidR="00DC4913">
        <w:rPr>
          <w:sz w:val="24"/>
          <w:szCs w:val="24"/>
          <w:lang w:val="es-PE"/>
        </w:rPr>
        <w:t xml:space="preserve">una </w:t>
      </w:r>
      <w:r w:rsidRPr="00D068A6">
        <w:rPr>
          <w:sz w:val="24"/>
          <w:szCs w:val="24"/>
          <w:lang w:val="es-PE"/>
        </w:rPr>
        <w:t>campaña feroz contra la reforma, se aprobó un proyecto modificado</w:t>
      </w:r>
      <w:r w:rsidR="00DC4913">
        <w:rPr>
          <w:sz w:val="24"/>
          <w:szCs w:val="24"/>
          <w:lang w:val="es-PE"/>
        </w:rPr>
        <w:t>. Este</w:t>
      </w:r>
      <w:r w:rsidRPr="00D068A6">
        <w:rPr>
          <w:sz w:val="24"/>
          <w:szCs w:val="24"/>
          <w:lang w:val="es-PE"/>
        </w:rPr>
        <w:t xml:space="preserve"> mantuvo  un  espacio </w:t>
      </w:r>
      <w:r w:rsidR="00DC4913" w:rsidRPr="00D068A6">
        <w:rPr>
          <w:sz w:val="24"/>
          <w:szCs w:val="24"/>
          <w:lang w:val="es-PE"/>
        </w:rPr>
        <w:t>op</w:t>
      </w:r>
      <w:r w:rsidR="00DC4913">
        <w:rPr>
          <w:sz w:val="24"/>
          <w:szCs w:val="24"/>
          <w:lang w:val="es-PE"/>
        </w:rPr>
        <w:t>cional</w:t>
      </w:r>
      <w:r w:rsidR="00DC4913" w:rsidRPr="00D068A6">
        <w:rPr>
          <w:sz w:val="24"/>
          <w:szCs w:val="24"/>
          <w:lang w:val="es-PE"/>
        </w:rPr>
        <w:t xml:space="preserve"> </w:t>
      </w:r>
      <w:r w:rsidRPr="00D068A6">
        <w:rPr>
          <w:sz w:val="24"/>
          <w:szCs w:val="24"/>
          <w:lang w:val="es-PE"/>
        </w:rPr>
        <w:t xml:space="preserve">de tributar </w:t>
      </w:r>
      <w:r w:rsidR="00DC4913">
        <w:rPr>
          <w:sz w:val="24"/>
          <w:szCs w:val="24"/>
          <w:lang w:val="es-PE"/>
        </w:rPr>
        <w:t xml:space="preserve">sobre las utilidades </w:t>
      </w:r>
      <w:r w:rsidRPr="00D068A6">
        <w:rPr>
          <w:sz w:val="24"/>
          <w:szCs w:val="24"/>
          <w:lang w:val="es-PE"/>
        </w:rPr>
        <w:t>devengad</w:t>
      </w:r>
      <w:r w:rsidR="00DC4913">
        <w:rPr>
          <w:sz w:val="24"/>
          <w:szCs w:val="24"/>
          <w:lang w:val="es-PE"/>
        </w:rPr>
        <w:t>as</w:t>
      </w:r>
      <w:r w:rsidRPr="00D068A6">
        <w:rPr>
          <w:sz w:val="24"/>
          <w:szCs w:val="24"/>
          <w:lang w:val="es-PE"/>
        </w:rPr>
        <w:t xml:space="preserve"> (atractivo para empresas  intensas en distribución de utilidades)</w:t>
      </w:r>
      <w:r w:rsidR="00ED2C70">
        <w:rPr>
          <w:sz w:val="24"/>
          <w:szCs w:val="24"/>
          <w:lang w:val="es-PE"/>
        </w:rPr>
        <w:t>, pero estab</w:t>
      </w:r>
      <w:r w:rsidR="00951E4F">
        <w:rPr>
          <w:sz w:val="24"/>
          <w:szCs w:val="24"/>
          <w:lang w:val="es-PE"/>
        </w:rPr>
        <w:t>l</w:t>
      </w:r>
      <w:r w:rsidR="00ED2C70">
        <w:rPr>
          <w:sz w:val="24"/>
          <w:szCs w:val="24"/>
          <w:lang w:val="es-PE"/>
        </w:rPr>
        <w:t xml:space="preserve">eció </w:t>
      </w:r>
      <w:r w:rsidR="00ED2C70">
        <w:rPr>
          <w:sz w:val="24"/>
          <w:szCs w:val="24"/>
          <w:lang w:val="es-PE"/>
        </w:rPr>
        <w:lastRenderedPageBreak/>
        <w:t>como sistema principal (</w:t>
      </w:r>
      <w:r w:rsidR="00ED2C70" w:rsidRPr="00D068A6">
        <w:rPr>
          <w:sz w:val="24"/>
          <w:szCs w:val="24"/>
          <w:lang w:val="es-PE"/>
        </w:rPr>
        <w:t>llamado sistema semi-integrado</w:t>
      </w:r>
      <w:r w:rsidR="00ED2C70">
        <w:rPr>
          <w:sz w:val="24"/>
          <w:szCs w:val="24"/>
          <w:lang w:val="es-PE"/>
        </w:rPr>
        <w:t xml:space="preserve">) </w:t>
      </w:r>
      <w:r w:rsidRPr="00D068A6">
        <w:rPr>
          <w:sz w:val="24"/>
          <w:szCs w:val="24"/>
          <w:lang w:val="es-PE"/>
        </w:rPr>
        <w:t>una</w:t>
      </w:r>
      <w:r w:rsidR="00DC4913">
        <w:rPr>
          <w:sz w:val="24"/>
          <w:szCs w:val="24"/>
          <w:lang w:val="es-PE"/>
        </w:rPr>
        <w:t xml:space="preserve"> mayor</w:t>
      </w:r>
      <w:r w:rsidRPr="00D068A6">
        <w:rPr>
          <w:sz w:val="24"/>
          <w:szCs w:val="24"/>
          <w:lang w:val="es-PE"/>
        </w:rPr>
        <w:t xml:space="preserve"> tasa de 27% en la</w:t>
      </w:r>
      <w:r w:rsidR="00DC4913">
        <w:rPr>
          <w:sz w:val="24"/>
          <w:szCs w:val="24"/>
          <w:lang w:val="es-PE"/>
        </w:rPr>
        <w:t>s utilidades de las</w:t>
      </w:r>
      <w:r w:rsidRPr="00D068A6">
        <w:rPr>
          <w:sz w:val="24"/>
          <w:szCs w:val="24"/>
          <w:lang w:val="es-PE"/>
        </w:rPr>
        <w:t xml:space="preserve"> empresa y el IGC solo sobre ingresos efectivos;  pero, </w:t>
      </w:r>
      <w:r w:rsidR="00ED2C70">
        <w:rPr>
          <w:sz w:val="24"/>
          <w:szCs w:val="24"/>
          <w:lang w:val="es-PE"/>
        </w:rPr>
        <w:t xml:space="preserve">reduciendo </w:t>
      </w:r>
      <w:r w:rsidRPr="00D068A6">
        <w:rPr>
          <w:sz w:val="24"/>
          <w:szCs w:val="24"/>
          <w:lang w:val="es-PE"/>
        </w:rPr>
        <w:t>el crédito tributario a 65% de la tributado por la empresa</w:t>
      </w:r>
      <w:r w:rsidR="00ED2C70">
        <w:rPr>
          <w:sz w:val="24"/>
          <w:szCs w:val="24"/>
          <w:lang w:val="es-PE"/>
        </w:rPr>
        <w:t xml:space="preserve">. Esta </w:t>
      </w:r>
      <w:r w:rsidR="001E7C35" w:rsidRPr="00D068A6">
        <w:rPr>
          <w:sz w:val="24"/>
          <w:szCs w:val="24"/>
          <w:lang w:val="es-PE"/>
        </w:rPr>
        <w:t>semi-desintegración</w:t>
      </w:r>
      <w:r w:rsidRPr="00D068A6">
        <w:rPr>
          <w:sz w:val="24"/>
          <w:szCs w:val="24"/>
          <w:lang w:val="es-PE"/>
        </w:rPr>
        <w:t xml:space="preserve"> me pareció un</w:t>
      </w:r>
      <w:r w:rsidR="008B7926">
        <w:rPr>
          <w:sz w:val="24"/>
          <w:szCs w:val="24"/>
          <w:lang w:val="es-PE"/>
        </w:rPr>
        <w:t xml:space="preserve"> </w:t>
      </w:r>
      <w:r w:rsidR="00ED2C70">
        <w:rPr>
          <w:sz w:val="24"/>
          <w:szCs w:val="24"/>
          <w:lang w:val="es-PE"/>
        </w:rPr>
        <w:t xml:space="preserve">cambio </w:t>
      </w:r>
      <w:r w:rsidR="008B7926">
        <w:rPr>
          <w:sz w:val="24"/>
          <w:szCs w:val="24"/>
          <w:lang w:val="es-PE"/>
        </w:rPr>
        <w:t>positivo,</w:t>
      </w:r>
      <w:r w:rsidRPr="00D068A6">
        <w:rPr>
          <w:sz w:val="24"/>
          <w:szCs w:val="24"/>
          <w:lang w:val="es-PE"/>
        </w:rPr>
        <w:t xml:space="preserve">  progresivo y pro-inversión. Con ello, parte de la carga del proyecto original se redistribuyó desde un gravamen a las utilidades reinvertidas a uno sobre las distribuidas; ello es positivo para la formación de capital tan requerida para el desarrollo sostenido. Se mantuvo la gradualidad de los aumentos  de tasas las que alcanzarían  plenitud en  el 2018. </w:t>
      </w:r>
    </w:p>
    <w:p w14:paraId="3FBD19EA" w14:textId="3020790C" w:rsidR="00E12DEC" w:rsidRDefault="00B71FD9" w:rsidP="00E12DEC">
      <w:pPr>
        <w:spacing w:line="360" w:lineRule="auto"/>
        <w:ind w:firstLine="708"/>
        <w:jc w:val="both"/>
        <w:rPr>
          <w:sz w:val="24"/>
          <w:szCs w:val="24"/>
          <w:lang w:val="es-PE"/>
        </w:rPr>
      </w:pPr>
      <w:r w:rsidRPr="00D068A6">
        <w:rPr>
          <w:sz w:val="24"/>
          <w:szCs w:val="24"/>
          <w:lang w:val="es-PE"/>
        </w:rPr>
        <w:t xml:space="preserve">La reforma tributaria y su conflictiva discusión </w:t>
      </w:r>
      <w:r w:rsidR="00ED2C70">
        <w:rPr>
          <w:sz w:val="24"/>
          <w:szCs w:val="24"/>
          <w:lang w:val="es-PE"/>
        </w:rPr>
        <w:t>tuvieron</w:t>
      </w:r>
      <w:r w:rsidR="00ED2C70" w:rsidRPr="00D068A6">
        <w:rPr>
          <w:sz w:val="24"/>
          <w:szCs w:val="24"/>
          <w:lang w:val="es-PE"/>
        </w:rPr>
        <w:t xml:space="preserve"> </w:t>
      </w:r>
      <w:r w:rsidRPr="00D068A6">
        <w:rPr>
          <w:sz w:val="24"/>
          <w:szCs w:val="24"/>
          <w:lang w:val="es-PE"/>
        </w:rPr>
        <w:t xml:space="preserve">efectos profundos y contradictorios en las expectativas. La reforma recauda más y de manera </w:t>
      </w:r>
      <w:r w:rsidR="00ED2C70">
        <w:rPr>
          <w:sz w:val="24"/>
          <w:szCs w:val="24"/>
          <w:lang w:val="es-PE"/>
        </w:rPr>
        <w:t xml:space="preserve">más </w:t>
      </w:r>
      <w:r w:rsidRPr="00D068A6">
        <w:rPr>
          <w:sz w:val="24"/>
          <w:szCs w:val="24"/>
          <w:lang w:val="es-PE"/>
        </w:rPr>
        <w:t xml:space="preserve">progresiva, no obstante </w:t>
      </w:r>
      <w:r w:rsidR="00ED2C70">
        <w:rPr>
          <w:sz w:val="24"/>
          <w:szCs w:val="24"/>
          <w:lang w:val="es-PE"/>
        </w:rPr>
        <w:t xml:space="preserve">algunas </w:t>
      </w:r>
      <w:r w:rsidRPr="00D068A6">
        <w:rPr>
          <w:sz w:val="24"/>
          <w:szCs w:val="24"/>
          <w:lang w:val="es-PE"/>
        </w:rPr>
        <w:t xml:space="preserve">fallas como la definición de </w:t>
      </w:r>
      <w:r w:rsidR="00ED2C70">
        <w:rPr>
          <w:sz w:val="24"/>
          <w:szCs w:val="24"/>
          <w:lang w:val="es-PE"/>
        </w:rPr>
        <w:t xml:space="preserve"> </w:t>
      </w:r>
      <w:r w:rsidRPr="00D068A6">
        <w:rPr>
          <w:sz w:val="24"/>
          <w:szCs w:val="24"/>
          <w:lang w:val="es-PE"/>
        </w:rPr>
        <w:t>PYMEs</w:t>
      </w:r>
      <w:r w:rsidR="00E12DEC">
        <w:rPr>
          <w:sz w:val="24"/>
          <w:szCs w:val="24"/>
          <w:lang w:val="es-PE"/>
        </w:rPr>
        <w:t>. Estas q</w:t>
      </w:r>
      <w:r w:rsidRPr="00D068A6">
        <w:rPr>
          <w:sz w:val="24"/>
          <w:szCs w:val="24"/>
          <w:lang w:val="es-PE"/>
        </w:rPr>
        <w:t>uedan afectas a un trato</w:t>
      </w:r>
      <w:r w:rsidR="00ED2C70">
        <w:rPr>
          <w:sz w:val="24"/>
          <w:szCs w:val="24"/>
          <w:lang w:val="es-PE"/>
        </w:rPr>
        <w:t xml:space="preserve"> tributario</w:t>
      </w:r>
      <w:r w:rsidRPr="00D068A6">
        <w:rPr>
          <w:sz w:val="24"/>
          <w:szCs w:val="24"/>
          <w:lang w:val="es-PE"/>
        </w:rPr>
        <w:t xml:space="preserve">  preferencial, p</w:t>
      </w:r>
      <w:r w:rsidR="00E12DEC">
        <w:rPr>
          <w:sz w:val="24"/>
          <w:szCs w:val="24"/>
          <w:lang w:val="es-PE"/>
        </w:rPr>
        <w:t>ero</w:t>
      </w:r>
      <w:r w:rsidRPr="00D068A6">
        <w:rPr>
          <w:sz w:val="24"/>
          <w:szCs w:val="24"/>
          <w:lang w:val="es-PE"/>
        </w:rPr>
        <w:t xml:space="preserve"> </w:t>
      </w:r>
      <w:r w:rsidR="00E12DEC">
        <w:rPr>
          <w:sz w:val="24"/>
          <w:szCs w:val="24"/>
          <w:lang w:val="es-PE"/>
        </w:rPr>
        <w:t>en la modificación del proyecto se</w:t>
      </w:r>
      <w:r w:rsidRPr="00D068A6">
        <w:rPr>
          <w:sz w:val="24"/>
          <w:szCs w:val="24"/>
          <w:lang w:val="es-PE"/>
        </w:rPr>
        <w:t xml:space="preserve"> aument</w:t>
      </w:r>
      <w:r w:rsidR="00E12DEC">
        <w:rPr>
          <w:sz w:val="24"/>
          <w:szCs w:val="24"/>
          <w:lang w:val="es-PE"/>
        </w:rPr>
        <w:t>ó</w:t>
      </w:r>
      <w:r w:rsidRPr="00D068A6">
        <w:rPr>
          <w:sz w:val="24"/>
          <w:szCs w:val="24"/>
          <w:lang w:val="es-PE"/>
        </w:rPr>
        <w:t xml:space="preserve"> significativamente el tope de ventas para que una empresa sea considerada PYME</w:t>
      </w:r>
      <w:r w:rsidR="00E12DEC">
        <w:rPr>
          <w:sz w:val="24"/>
          <w:szCs w:val="24"/>
          <w:lang w:val="es-PE"/>
        </w:rPr>
        <w:t>,</w:t>
      </w:r>
      <w:r w:rsidRPr="00D068A6">
        <w:rPr>
          <w:sz w:val="24"/>
          <w:szCs w:val="24"/>
          <w:lang w:val="es-PE"/>
        </w:rPr>
        <w:t xml:space="preserve"> incluy</w:t>
      </w:r>
      <w:r w:rsidR="00E12DEC">
        <w:rPr>
          <w:sz w:val="24"/>
          <w:szCs w:val="24"/>
          <w:lang w:val="es-PE"/>
        </w:rPr>
        <w:t>éndose</w:t>
      </w:r>
      <w:r w:rsidRPr="00D068A6">
        <w:rPr>
          <w:sz w:val="24"/>
          <w:szCs w:val="24"/>
          <w:lang w:val="es-PE"/>
        </w:rPr>
        <w:t xml:space="preserve"> un segmento de  medianas empresas de propietarios  que se ubican en el decil más rico (Agostini, 2014). </w:t>
      </w:r>
    </w:p>
    <w:p w14:paraId="7FF74B69" w14:textId="67E2A69F" w:rsidR="00CB5F4D" w:rsidRDefault="00B71FD9" w:rsidP="00E12DEC">
      <w:pPr>
        <w:spacing w:line="360" w:lineRule="auto"/>
        <w:jc w:val="both"/>
        <w:rPr>
          <w:sz w:val="24"/>
          <w:szCs w:val="24"/>
          <w:lang w:val="es-PE"/>
        </w:rPr>
      </w:pPr>
      <w:r w:rsidRPr="00D068A6">
        <w:rPr>
          <w:sz w:val="24"/>
          <w:szCs w:val="24"/>
          <w:lang w:val="es-PE"/>
        </w:rPr>
        <w:t xml:space="preserve"> </w:t>
      </w:r>
      <w:r w:rsidR="00E12DEC">
        <w:rPr>
          <w:sz w:val="24"/>
          <w:szCs w:val="24"/>
          <w:lang w:val="es-PE"/>
        </w:rPr>
        <w:tab/>
      </w:r>
      <w:r w:rsidRPr="00D068A6">
        <w:rPr>
          <w:sz w:val="24"/>
          <w:szCs w:val="24"/>
          <w:lang w:val="es-PE"/>
        </w:rPr>
        <w:t xml:space="preserve">Destaca, en mi opinión, </w:t>
      </w:r>
      <w:r w:rsidR="00C219C6">
        <w:rPr>
          <w:sz w:val="24"/>
          <w:szCs w:val="24"/>
          <w:lang w:val="es-PE"/>
        </w:rPr>
        <w:t>la visión negativa de</w:t>
      </w:r>
      <w:r w:rsidRPr="00D068A6">
        <w:rPr>
          <w:sz w:val="24"/>
          <w:szCs w:val="24"/>
          <w:lang w:val="es-PE"/>
        </w:rPr>
        <w:t xml:space="preserve"> </w:t>
      </w:r>
      <w:r w:rsidR="00C219C6">
        <w:rPr>
          <w:sz w:val="24"/>
          <w:szCs w:val="24"/>
          <w:lang w:val="es-PE"/>
        </w:rPr>
        <w:t xml:space="preserve">gran parte </w:t>
      </w:r>
      <w:r w:rsidRPr="00D068A6">
        <w:rPr>
          <w:sz w:val="24"/>
          <w:szCs w:val="24"/>
          <w:lang w:val="es-PE"/>
        </w:rPr>
        <w:t>de la  opinión pública en el curso del debate y hasta la actualidad</w:t>
      </w:r>
      <w:r w:rsidR="006C6969" w:rsidRPr="00D068A6">
        <w:rPr>
          <w:sz w:val="24"/>
          <w:szCs w:val="24"/>
          <w:lang w:val="es-PE"/>
        </w:rPr>
        <w:t>.</w:t>
      </w:r>
      <w:r w:rsidRPr="00D068A6">
        <w:rPr>
          <w:sz w:val="24"/>
          <w:szCs w:val="24"/>
          <w:lang w:val="es-PE"/>
        </w:rPr>
        <w:t xml:space="preserve"> No es sorprendente en </w:t>
      </w:r>
      <w:r w:rsidR="00E025B0">
        <w:rPr>
          <w:sz w:val="24"/>
          <w:szCs w:val="24"/>
          <w:lang w:val="es-PE"/>
        </w:rPr>
        <w:t xml:space="preserve">cuanto a </w:t>
      </w:r>
      <w:r w:rsidRPr="00D068A6">
        <w:rPr>
          <w:sz w:val="24"/>
          <w:szCs w:val="24"/>
          <w:lang w:val="es-PE"/>
        </w:rPr>
        <w:t xml:space="preserve">los sectores de </w:t>
      </w:r>
      <w:r w:rsidR="00C43DE1" w:rsidRPr="00D068A6">
        <w:rPr>
          <w:sz w:val="24"/>
          <w:szCs w:val="24"/>
          <w:lang w:val="es-PE"/>
        </w:rPr>
        <w:t xml:space="preserve">más </w:t>
      </w:r>
      <w:r w:rsidRPr="00D068A6">
        <w:rPr>
          <w:sz w:val="24"/>
          <w:szCs w:val="24"/>
          <w:lang w:val="es-PE"/>
        </w:rPr>
        <w:t>altos ingresos</w:t>
      </w:r>
      <w:r w:rsidR="00C43DE1" w:rsidRPr="00D068A6">
        <w:rPr>
          <w:sz w:val="24"/>
          <w:szCs w:val="24"/>
          <w:lang w:val="es-PE"/>
        </w:rPr>
        <w:t xml:space="preserve"> dado</w:t>
      </w:r>
      <w:r w:rsidRPr="00D068A6">
        <w:rPr>
          <w:sz w:val="24"/>
          <w:szCs w:val="24"/>
          <w:lang w:val="es-PE"/>
        </w:rPr>
        <w:t xml:space="preserve"> que contribuirán </w:t>
      </w:r>
      <w:r w:rsidR="00C219C6">
        <w:rPr>
          <w:sz w:val="24"/>
          <w:szCs w:val="24"/>
          <w:lang w:val="es-PE"/>
        </w:rPr>
        <w:t xml:space="preserve">con </w:t>
      </w:r>
      <w:r w:rsidRPr="00D068A6">
        <w:rPr>
          <w:sz w:val="24"/>
          <w:szCs w:val="24"/>
          <w:lang w:val="es-PE"/>
        </w:rPr>
        <w:t xml:space="preserve">la mayor parte de la nueva recaudación. </w:t>
      </w:r>
      <w:r w:rsidR="004B1DB4">
        <w:rPr>
          <w:sz w:val="24"/>
          <w:szCs w:val="24"/>
          <w:lang w:val="es-PE"/>
        </w:rPr>
        <w:t>Sin embargo</w:t>
      </w:r>
      <w:r w:rsidRPr="00D068A6">
        <w:rPr>
          <w:sz w:val="24"/>
          <w:szCs w:val="24"/>
          <w:lang w:val="es-PE"/>
        </w:rPr>
        <w:t xml:space="preserve">, </w:t>
      </w:r>
      <w:r w:rsidR="004B1DB4">
        <w:rPr>
          <w:sz w:val="24"/>
          <w:szCs w:val="24"/>
          <w:lang w:val="es-PE"/>
        </w:rPr>
        <w:t xml:space="preserve">encontramos también una </w:t>
      </w:r>
      <w:r w:rsidR="00C219C6">
        <w:rPr>
          <w:sz w:val="24"/>
          <w:szCs w:val="24"/>
          <w:lang w:val="es-PE"/>
        </w:rPr>
        <w:t>opinión negativa</w:t>
      </w:r>
      <w:r w:rsidR="004B1DB4">
        <w:rPr>
          <w:sz w:val="24"/>
          <w:szCs w:val="24"/>
          <w:lang w:val="es-PE"/>
        </w:rPr>
        <w:t xml:space="preserve"> en segmentos de la población para los cuales la reforma tendrá beneficios porque pagan </w:t>
      </w:r>
      <w:r w:rsidR="00C219C6">
        <w:rPr>
          <w:sz w:val="24"/>
          <w:szCs w:val="24"/>
          <w:lang w:val="es-PE"/>
        </w:rPr>
        <w:t>pocos impuestos y los</w:t>
      </w:r>
      <w:r w:rsidR="004B1DB4">
        <w:rPr>
          <w:sz w:val="24"/>
          <w:szCs w:val="24"/>
          <w:lang w:val="es-PE"/>
        </w:rPr>
        <w:t xml:space="preserve"> ingresos adicionales serán</w:t>
      </w:r>
      <w:r w:rsidRPr="00D068A6">
        <w:rPr>
          <w:sz w:val="24"/>
          <w:szCs w:val="24"/>
          <w:lang w:val="es-PE"/>
        </w:rPr>
        <w:t xml:space="preserve"> principalmente asignado</w:t>
      </w:r>
      <w:r w:rsidR="00951E4F">
        <w:rPr>
          <w:sz w:val="24"/>
          <w:szCs w:val="24"/>
          <w:lang w:val="es-PE"/>
        </w:rPr>
        <w:t>s</w:t>
      </w:r>
      <w:r w:rsidRPr="00D068A6">
        <w:rPr>
          <w:sz w:val="24"/>
          <w:szCs w:val="24"/>
          <w:lang w:val="es-PE"/>
        </w:rPr>
        <w:t xml:space="preserve"> a ellos. </w:t>
      </w:r>
      <w:r w:rsidR="004B1DB4">
        <w:rPr>
          <w:sz w:val="24"/>
          <w:szCs w:val="24"/>
          <w:lang w:val="es-PE"/>
        </w:rPr>
        <w:t>Esto representa</w:t>
      </w:r>
      <w:r w:rsidRPr="00D068A6">
        <w:rPr>
          <w:sz w:val="24"/>
          <w:szCs w:val="24"/>
          <w:lang w:val="es-PE"/>
        </w:rPr>
        <w:t xml:space="preserve"> una notable derrota comunicacional del gobierno.</w:t>
      </w:r>
      <w:r w:rsidR="00CB5F4D" w:rsidRPr="00D068A6">
        <w:rPr>
          <w:sz w:val="24"/>
          <w:szCs w:val="24"/>
          <w:lang w:val="es-PE"/>
        </w:rPr>
        <w:t xml:space="preserve"> </w:t>
      </w:r>
    </w:p>
    <w:p w14:paraId="2CE4C05C" w14:textId="77777777" w:rsidR="002B2131" w:rsidRDefault="002B2131" w:rsidP="00496075">
      <w:pPr>
        <w:spacing w:line="360" w:lineRule="auto"/>
        <w:ind w:firstLine="708"/>
        <w:jc w:val="both"/>
        <w:rPr>
          <w:sz w:val="24"/>
          <w:szCs w:val="24"/>
          <w:lang w:val="es-PE"/>
        </w:rPr>
      </w:pPr>
    </w:p>
    <w:p w14:paraId="713B012B" w14:textId="0167842E" w:rsidR="00C4460B" w:rsidRPr="002B2131" w:rsidRDefault="00720C81" w:rsidP="002B2131">
      <w:pPr>
        <w:pStyle w:val="Prrafodelista"/>
        <w:numPr>
          <w:ilvl w:val="0"/>
          <w:numId w:val="11"/>
        </w:numPr>
        <w:jc w:val="both"/>
        <w:rPr>
          <w:b/>
          <w:sz w:val="24"/>
          <w:szCs w:val="24"/>
          <w:lang w:val="es-PE"/>
        </w:rPr>
      </w:pPr>
      <w:r w:rsidRPr="002B2131">
        <w:rPr>
          <w:b/>
          <w:sz w:val="24"/>
          <w:szCs w:val="24"/>
          <w:lang w:val="es-PE"/>
        </w:rPr>
        <w:t xml:space="preserve">Dos </w:t>
      </w:r>
      <w:r w:rsidR="006041A0" w:rsidRPr="002B2131">
        <w:rPr>
          <w:b/>
          <w:sz w:val="24"/>
          <w:szCs w:val="24"/>
          <w:lang w:val="es-PE"/>
        </w:rPr>
        <w:t>tópicos</w:t>
      </w:r>
      <w:r w:rsidR="00C4460B" w:rsidRPr="002B2131">
        <w:rPr>
          <w:b/>
          <w:sz w:val="24"/>
          <w:szCs w:val="24"/>
          <w:lang w:val="es-PE"/>
        </w:rPr>
        <w:t xml:space="preserve"> </w:t>
      </w:r>
      <w:r w:rsidR="00EA184A" w:rsidRPr="002B2131">
        <w:rPr>
          <w:b/>
          <w:sz w:val="24"/>
          <w:szCs w:val="24"/>
          <w:lang w:val="es-PE"/>
        </w:rPr>
        <w:t>econ</w:t>
      </w:r>
      <w:r w:rsidR="006041A0" w:rsidRPr="002B2131">
        <w:rPr>
          <w:b/>
          <w:sz w:val="24"/>
          <w:szCs w:val="24"/>
          <w:lang w:val="es-PE"/>
        </w:rPr>
        <w:t>ó</w:t>
      </w:r>
      <w:r w:rsidR="00EA184A" w:rsidRPr="002B2131">
        <w:rPr>
          <w:b/>
          <w:sz w:val="24"/>
          <w:szCs w:val="24"/>
          <w:lang w:val="es-PE"/>
        </w:rPr>
        <w:t>mic</w:t>
      </w:r>
      <w:r w:rsidR="006041A0" w:rsidRPr="002B2131">
        <w:rPr>
          <w:b/>
          <w:sz w:val="24"/>
          <w:szCs w:val="24"/>
          <w:lang w:val="es-PE"/>
        </w:rPr>
        <w:t>os</w:t>
      </w:r>
      <w:r w:rsidR="00C4460B" w:rsidRPr="002B2131">
        <w:rPr>
          <w:b/>
          <w:sz w:val="24"/>
          <w:szCs w:val="24"/>
          <w:lang w:val="es-PE"/>
        </w:rPr>
        <w:t xml:space="preserve">: </w:t>
      </w:r>
      <w:r w:rsidR="00EA184A" w:rsidRPr="002B2131">
        <w:rPr>
          <w:b/>
          <w:sz w:val="24"/>
          <w:szCs w:val="24"/>
          <w:lang w:val="es-PE"/>
        </w:rPr>
        <w:t>e</w:t>
      </w:r>
      <w:r w:rsidR="00C4460B" w:rsidRPr="002B2131">
        <w:rPr>
          <w:b/>
          <w:sz w:val="24"/>
          <w:szCs w:val="24"/>
          <w:lang w:val="es-PE"/>
        </w:rPr>
        <w:t>xport</w:t>
      </w:r>
      <w:r w:rsidR="006041A0" w:rsidRPr="002B2131">
        <w:rPr>
          <w:b/>
          <w:sz w:val="24"/>
          <w:szCs w:val="24"/>
          <w:lang w:val="es-PE"/>
        </w:rPr>
        <w:t>aciones</w:t>
      </w:r>
      <w:r w:rsidRPr="002B2131">
        <w:rPr>
          <w:b/>
          <w:sz w:val="24"/>
          <w:szCs w:val="24"/>
          <w:lang w:val="es-PE"/>
        </w:rPr>
        <w:t xml:space="preserve"> </w:t>
      </w:r>
      <w:r w:rsidR="006041A0" w:rsidRPr="002B2131">
        <w:rPr>
          <w:b/>
          <w:sz w:val="24"/>
          <w:szCs w:val="24"/>
          <w:lang w:val="es-PE"/>
        </w:rPr>
        <w:t>y formación de capital</w:t>
      </w:r>
      <w:r w:rsidR="00F50750" w:rsidRPr="00D068A6">
        <w:rPr>
          <w:rStyle w:val="Refdenotaalpie"/>
          <w:bCs/>
          <w:i/>
          <w:color w:val="222222"/>
          <w:sz w:val="28"/>
          <w:szCs w:val="28"/>
          <w:shd w:val="clear" w:color="auto" w:fill="FFFFFF"/>
          <w:lang w:val="es-PE"/>
        </w:rPr>
        <w:footnoteReference w:id="23"/>
      </w:r>
    </w:p>
    <w:p w14:paraId="760D6161" w14:textId="77777777" w:rsidR="005C038D" w:rsidRPr="00D068A6" w:rsidRDefault="005C038D" w:rsidP="005C038D">
      <w:pPr>
        <w:pStyle w:val="Prrafodelista"/>
        <w:ind w:left="1068"/>
        <w:jc w:val="both"/>
        <w:rPr>
          <w:b/>
          <w:sz w:val="24"/>
          <w:szCs w:val="24"/>
          <w:lang w:val="es-PE"/>
        </w:rPr>
      </w:pPr>
    </w:p>
    <w:p w14:paraId="1329EA5B" w14:textId="510AD8A1" w:rsidR="00C4460B" w:rsidRPr="00D068A6" w:rsidRDefault="005A3472" w:rsidP="005A3472">
      <w:pPr>
        <w:spacing w:line="360" w:lineRule="auto"/>
        <w:jc w:val="both"/>
        <w:rPr>
          <w:sz w:val="24"/>
          <w:szCs w:val="24"/>
          <w:lang w:val="es-PE"/>
        </w:rPr>
      </w:pPr>
      <w:r w:rsidRPr="00D068A6">
        <w:rPr>
          <w:sz w:val="24"/>
          <w:szCs w:val="24"/>
          <w:lang w:val="es-PE"/>
        </w:rPr>
        <w:t>En esta sección retomamos dos temas que  catalogamos  como cruciales en el deterioro económico: (i) la inserción comercial, la política cambiaria y el precio del cobre</w:t>
      </w:r>
      <w:r w:rsidR="006041A0" w:rsidRPr="00D068A6">
        <w:rPr>
          <w:sz w:val="24"/>
          <w:szCs w:val="24"/>
          <w:lang w:val="es-PE"/>
        </w:rPr>
        <w:t xml:space="preserve"> y</w:t>
      </w:r>
      <w:r w:rsidRPr="00D068A6">
        <w:rPr>
          <w:sz w:val="24"/>
          <w:szCs w:val="24"/>
          <w:lang w:val="es-PE"/>
        </w:rPr>
        <w:t xml:space="preserve"> (ii) la formación de capital, y tendencias preocupantes en su composición. </w:t>
      </w:r>
      <w:r w:rsidR="00C4460B" w:rsidRPr="00D068A6">
        <w:rPr>
          <w:sz w:val="24"/>
          <w:szCs w:val="24"/>
          <w:lang w:val="es-PE"/>
        </w:rPr>
        <w:t xml:space="preserve">Estos  han convergido a contribuir a la desaceleración y al deterioro de las expectativas. </w:t>
      </w:r>
    </w:p>
    <w:p w14:paraId="1F90766C" w14:textId="031B2F48" w:rsidR="00EC7A3B" w:rsidRPr="00D068A6" w:rsidRDefault="00CB5F4D" w:rsidP="00EC7A3B">
      <w:pPr>
        <w:spacing w:line="360" w:lineRule="auto"/>
        <w:contextualSpacing/>
        <w:jc w:val="both"/>
        <w:rPr>
          <w:bCs/>
          <w:color w:val="222222"/>
          <w:sz w:val="24"/>
          <w:szCs w:val="24"/>
          <w:shd w:val="clear" w:color="auto" w:fill="FFFFFF"/>
          <w:lang w:val="es-PE"/>
        </w:rPr>
      </w:pPr>
      <w:r w:rsidRPr="00D068A6">
        <w:rPr>
          <w:bCs/>
          <w:color w:val="222222"/>
          <w:sz w:val="24"/>
          <w:szCs w:val="24"/>
          <w:shd w:val="clear" w:color="auto" w:fill="FFFFFF"/>
          <w:lang w:val="es-PE"/>
        </w:rPr>
        <w:t xml:space="preserve"> </w:t>
      </w:r>
    </w:p>
    <w:p w14:paraId="7B33E1B0" w14:textId="77777777" w:rsidR="00B02D2C" w:rsidRDefault="00FA68AA" w:rsidP="00C23BFC">
      <w:pPr>
        <w:spacing w:line="360" w:lineRule="auto"/>
        <w:contextualSpacing/>
        <w:jc w:val="both"/>
        <w:rPr>
          <w:sz w:val="24"/>
          <w:szCs w:val="24"/>
          <w:lang w:val="es-PE"/>
        </w:rPr>
      </w:pPr>
      <w:r w:rsidRPr="00D068A6">
        <w:rPr>
          <w:sz w:val="24"/>
          <w:szCs w:val="24"/>
          <w:lang w:val="es-PE"/>
        </w:rPr>
        <w:tab/>
      </w:r>
    </w:p>
    <w:p w14:paraId="36175B3E" w14:textId="77777777" w:rsidR="00B02D2C" w:rsidRDefault="00B02D2C" w:rsidP="00C23BFC">
      <w:pPr>
        <w:spacing w:line="360" w:lineRule="auto"/>
        <w:contextualSpacing/>
        <w:jc w:val="both"/>
        <w:rPr>
          <w:sz w:val="24"/>
          <w:szCs w:val="24"/>
          <w:lang w:val="es-PE"/>
        </w:rPr>
      </w:pPr>
    </w:p>
    <w:p w14:paraId="024A5396" w14:textId="10660D42" w:rsidR="00C23BFC" w:rsidRPr="00D068A6" w:rsidRDefault="00CB5F4D" w:rsidP="00C23BFC">
      <w:pPr>
        <w:spacing w:line="360" w:lineRule="auto"/>
        <w:contextualSpacing/>
        <w:jc w:val="both"/>
        <w:rPr>
          <w:bCs/>
          <w:i/>
          <w:color w:val="222222"/>
          <w:sz w:val="28"/>
          <w:szCs w:val="28"/>
          <w:shd w:val="clear" w:color="auto" w:fill="FFFFFF"/>
          <w:lang w:val="es-PE"/>
        </w:rPr>
      </w:pPr>
      <w:r w:rsidRPr="00D068A6">
        <w:rPr>
          <w:sz w:val="24"/>
          <w:szCs w:val="24"/>
          <w:lang w:val="es-PE"/>
        </w:rPr>
        <w:lastRenderedPageBreak/>
        <w:t>a</w:t>
      </w:r>
      <w:r w:rsidR="00EC7A3B" w:rsidRPr="00D068A6">
        <w:rPr>
          <w:bCs/>
          <w:i/>
          <w:color w:val="222222"/>
          <w:sz w:val="28"/>
          <w:szCs w:val="28"/>
          <w:shd w:val="clear" w:color="auto" w:fill="FFFFFF"/>
          <w:lang w:val="es-PE"/>
        </w:rPr>
        <w:t xml:space="preserve">) </w:t>
      </w:r>
      <w:r w:rsidR="007629EE" w:rsidRPr="00D068A6">
        <w:rPr>
          <w:bCs/>
          <w:i/>
          <w:color w:val="222222"/>
          <w:sz w:val="28"/>
          <w:szCs w:val="28"/>
          <w:shd w:val="clear" w:color="auto" w:fill="FFFFFF"/>
          <w:lang w:val="es-PE"/>
        </w:rPr>
        <w:t xml:space="preserve">Las exportaciones y el tipo de cambio </w:t>
      </w:r>
    </w:p>
    <w:p w14:paraId="350802B8" w14:textId="54F7F845" w:rsidR="00EC7A3B" w:rsidRPr="00D068A6" w:rsidRDefault="00EC7A3B" w:rsidP="00C23BFC">
      <w:pPr>
        <w:spacing w:line="360" w:lineRule="auto"/>
        <w:contextualSpacing/>
        <w:jc w:val="both"/>
        <w:rPr>
          <w:bCs/>
          <w:color w:val="222222"/>
          <w:sz w:val="24"/>
          <w:szCs w:val="24"/>
          <w:shd w:val="clear" w:color="auto" w:fill="FFFFFF"/>
          <w:lang w:val="es-PE"/>
        </w:rPr>
      </w:pPr>
      <w:r w:rsidRPr="00D068A6">
        <w:rPr>
          <w:bCs/>
          <w:color w:val="222222"/>
          <w:sz w:val="24"/>
          <w:szCs w:val="24"/>
          <w:shd w:val="clear" w:color="auto" w:fill="FFFFFF"/>
          <w:lang w:val="es-PE"/>
        </w:rPr>
        <w:t xml:space="preserve">Entre 1974 y 1989 </w:t>
      </w:r>
      <w:r w:rsidR="007629EE" w:rsidRPr="00D068A6">
        <w:rPr>
          <w:bCs/>
          <w:color w:val="222222"/>
          <w:sz w:val="24"/>
          <w:szCs w:val="24"/>
          <w:shd w:val="clear" w:color="auto" w:fill="FFFFFF"/>
          <w:lang w:val="es-PE"/>
        </w:rPr>
        <w:t xml:space="preserve">las exportaciones </w:t>
      </w:r>
      <w:r w:rsidRPr="00D068A6">
        <w:rPr>
          <w:bCs/>
          <w:color w:val="222222"/>
          <w:sz w:val="24"/>
          <w:szCs w:val="24"/>
          <w:shd w:val="clear" w:color="auto" w:fill="FFFFFF"/>
          <w:lang w:val="es-PE"/>
        </w:rPr>
        <w:t xml:space="preserve">crecieron  11% anual, cerca del doble  que el comercio internacional que se expandía </w:t>
      </w:r>
      <w:r w:rsidR="007F7843">
        <w:rPr>
          <w:bCs/>
          <w:color w:val="222222"/>
          <w:sz w:val="24"/>
          <w:szCs w:val="24"/>
          <w:shd w:val="clear" w:color="auto" w:fill="FFFFFF"/>
          <w:lang w:val="es-PE"/>
        </w:rPr>
        <w:t xml:space="preserve">a tasas de </w:t>
      </w:r>
      <w:r w:rsidRPr="00D068A6">
        <w:rPr>
          <w:bCs/>
          <w:color w:val="222222"/>
          <w:sz w:val="24"/>
          <w:szCs w:val="24"/>
          <w:shd w:val="clear" w:color="auto" w:fill="FFFFFF"/>
          <w:lang w:val="es-PE"/>
        </w:rPr>
        <w:t>6%. El dinamismo exportador  continuó en 1990-98, promediand</w:t>
      </w:r>
      <w:r w:rsidR="007629EE" w:rsidRPr="00D068A6">
        <w:rPr>
          <w:bCs/>
          <w:color w:val="222222"/>
          <w:sz w:val="24"/>
          <w:szCs w:val="24"/>
          <w:shd w:val="clear" w:color="auto" w:fill="FFFFFF"/>
          <w:lang w:val="es-PE"/>
        </w:rPr>
        <w:t>o un crecimiento de 9,9%  anual</w:t>
      </w:r>
      <w:r w:rsidRPr="00D068A6">
        <w:rPr>
          <w:bCs/>
          <w:color w:val="222222"/>
          <w:sz w:val="24"/>
          <w:szCs w:val="24"/>
          <w:shd w:val="clear" w:color="auto" w:fill="FFFFFF"/>
          <w:lang w:val="es-PE"/>
        </w:rPr>
        <w:t>, diversificándose gracias a una expansión de 14% de los  rub</w:t>
      </w:r>
      <w:r w:rsidR="006C6969" w:rsidRPr="00D068A6">
        <w:rPr>
          <w:bCs/>
          <w:color w:val="222222"/>
          <w:sz w:val="24"/>
          <w:szCs w:val="24"/>
          <w:shd w:val="clear" w:color="auto" w:fill="FFFFFF"/>
          <w:lang w:val="es-PE"/>
        </w:rPr>
        <w:t>ros no tradicionales</w:t>
      </w:r>
      <w:r w:rsidRPr="00D068A6">
        <w:rPr>
          <w:bCs/>
          <w:color w:val="222222"/>
          <w:sz w:val="24"/>
          <w:szCs w:val="24"/>
          <w:shd w:val="clear" w:color="auto" w:fill="FFFFFF"/>
          <w:lang w:val="es-PE"/>
        </w:rPr>
        <w:t xml:space="preserve"> (Ffrench-Davis, 2014, cuadro VI.4). El buen desempeño aparece asociado a la  calidad del manejo cambiario, al equilibrio de la  macroeconomía real  que operó continuadamente cerca de la frontera  productiva y a la continuidad del subsidio a </w:t>
      </w:r>
      <w:r w:rsidR="007F7843">
        <w:rPr>
          <w:bCs/>
          <w:color w:val="222222"/>
          <w:sz w:val="24"/>
          <w:szCs w:val="24"/>
          <w:shd w:val="clear" w:color="auto" w:fill="FFFFFF"/>
          <w:lang w:val="es-PE"/>
        </w:rPr>
        <w:t>los pequeños exportadores</w:t>
      </w:r>
      <w:r w:rsidRPr="00D068A6">
        <w:rPr>
          <w:bCs/>
          <w:color w:val="222222"/>
          <w:sz w:val="24"/>
          <w:szCs w:val="24"/>
          <w:shd w:val="clear" w:color="auto" w:fill="FFFFFF"/>
          <w:lang w:val="es-PE"/>
        </w:rPr>
        <w:t xml:space="preserve"> (Agosin, Larraín y Grau, 2009). </w:t>
      </w:r>
    </w:p>
    <w:p w14:paraId="0F5D2650" w14:textId="348E5D91" w:rsidR="00EC7A3B" w:rsidRPr="00D068A6" w:rsidRDefault="00EC7A3B" w:rsidP="00EC7A3B">
      <w:pPr>
        <w:spacing w:line="360" w:lineRule="auto"/>
        <w:contextualSpacing/>
        <w:jc w:val="both"/>
        <w:rPr>
          <w:bCs/>
          <w:color w:val="222222"/>
          <w:sz w:val="24"/>
          <w:szCs w:val="24"/>
          <w:shd w:val="clear" w:color="auto" w:fill="FFFFFF"/>
          <w:lang w:val="es-PE"/>
        </w:rPr>
      </w:pPr>
      <w:r w:rsidRPr="00D068A6">
        <w:rPr>
          <w:bCs/>
          <w:color w:val="222222"/>
          <w:sz w:val="24"/>
          <w:szCs w:val="24"/>
          <w:shd w:val="clear" w:color="auto" w:fill="FFFFFF"/>
          <w:lang w:val="es-PE"/>
        </w:rPr>
        <w:tab/>
        <w:t>E</w:t>
      </w:r>
      <w:r w:rsidR="005A3472" w:rsidRPr="00D068A6">
        <w:rPr>
          <w:bCs/>
          <w:color w:val="222222"/>
          <w:sz w:val="24"/>
          <w:szCs w:val="24"/>
          <w:shd w:val="clear" w:color="auto" w:fill="FFFFFF"/>
          <w:lang w:val="es-PE"/>
        </w:rPr>
        <w:t xml:space="preserve">n 1999, como se expuso, se liberó el tipo de cambio  </w:t>
      </w:r>
      <w:r w:rsidR="007F7843">
        <w:rPr>
          <w:bCs/>
          <w:color w:val="222222"/>
          <w:sz w:val="24"/>
          <w:szCs w:val="24"/>
          <w:shd w:val="clear" w:color="auto" w:fill="FFFFFF"/>
          <w:lang w:val="es-PE"/>
        </w:rPr>
        <w:t>y con esto un período de</w:t>
      </w:r>
      <w:r w:rsidR="005A3472" w:rsidRPr="00D068A6">
        <w:rPr>
          <w:bCs/>
          <w:color w:val="222222"/>
          <w:sz w:val="24"/>
          <w:szCs w:val="24"/>
          <w:shd w:val="clear" w:color="auto" w:fill="FFFFFF"/>
          <w:lang w:val="es-PE"/>
        </w:rPr>
        <w:t xml:space="preserve"> fuerte volatilidad de su tasa. E</w:t>
      </w:r>
      <w:r w:rsidRPr="00D068A6">
        <w:rPr>
          <w:bCs/>
          <w:color w:val="222222"/>
          <w:sz w:val="24"/>
          <w:szCs w:val="24"/>
          <w:shd w:val="clear" w:color="auto" w:fill="FFFFFF"/>
          <w:lang w:val="es-PE"/>
        </w:rPr>
        <w:t xml:space="preserve">l dinamismo </w:t>
      </w:r>
      <w:r w:rsidR="005A3472" w:rsidRPr="00D068A6">
        <w:rPr>
          <w:bCs/>
          <w:color w:val="222222"/>
          <w:sz w:val="24"/>
          <w:szCs w:val="24"/>
          <w:shd w:val="clear" w:color="auto" w:fill="FFFFFF"/>
          <w:lang w:val="es-PE"/>
        </w:rPr>
        <w:t xml:space="preserve">de las exportaciones </w:t>
      </w:r>
      <w:r w:rsidRPr="00D068A6">
        <w:rPr>
          <w:bCs/>
          <w:color w:val="222222"/>
          <w:sz w:val="24"/>
          <w:szCs w:val="24"/>
          <w:shd w:val="clear" w:color="auto" w:fill="FFFFFF"/>
          <w:lang w:val="es-PE"/>
        </w:rPr>
        <w:t>se fue reduciendo en los años siguientes hasta  la llegada de la crisis global. La diversificación continuó pero mucho más lento</w:t>
      </w:r>
      <w:r w:rsidR="00720C81" w:rsidRPr="00D068A6">
        <w:rPr>
          <w:bCs/>
          <w:color w:val="222222"/>
          <w:sz w:val="24"/>
          <w:szCs w:val="24"/>
          <w:shd w:val="clear" w:color="auto" w:fill="FFFFFF"/>
          <w:lang w:val="es-PE"/>
        </w:rPr>
        <w:t xml:space="preserve"> (ver Ffrench-Davis, 2016b, cuadro 4)</w:t>
      </w:r>
      <w:r w:rsidRPr="00D068A6">
        <w:rPr>
          <w:bCs/>
          <w:color w:val="222222"/>
          <w:sz w:val="24"/>
          <w:szCs w:val="24"/>
          <w:shd w:val="clear" w:color="auto" w:fill="FFFFFF"/>
          <w:lang w:val="es-PE"/>
        </w:rPr>
        <w:t>.</w:t>
      </w:r>
    </w:p>
    <w:p w14:paraId="06B2EB06" w14:textId="6078E75D" w:rsidR="00EC0B62" w:rsidRPr="00D068A6" w:rsidRDefault="000B17DF" w:rsidP="00EC7A3B">
      <w:pPr>
        <w:spacing w:line="360" w:lineRule="auto"/>
        <w:contextualSpacing/>
        <w:jc w:val="both"/>
        <w:rPr>
          <w:bCs/>
          <w:color w:val="222222"/>
          <w:sz w:val="24"/>
          <w:szCs w:val="24"/>
          <w:shd w:val="clear" w:color="auto" w:fill="FFFFFF"/>
          <w:lang w:val="es-PE"/>
        </w:rPr>
      </w:pPr>
      <w:r w:rsidRPr="00D068A6">
        <w:rPr>
          <w:bCs/>
          <w:color w:val="222222"/>
          <w:sz w:val="24"/>
          <w:szCs w:val="24"/>
          <w:shd w:val="clear" w:color="auto" w:fill="FFFFFF"/>
          <w:lang w:val="es-PE"/>
        </w:rPr>
        <w:tab/>
      </w:r>
      <w:r w:rsidR="00EC7A3B" w:rsidRPr="00D068A6">
        <w:rPr>
          <w:bCs/>
          <w:color w:val="222222"/>
          <w:sz w:val="24"/>
          <w:szCs w:val="24"/>
          <w:shd w:val="clear" w:color="auto" w:fill="FFFFFF"/>
          <w:lang w:val="es-PE"/>
        </w:rPr>
        <w:t xml:space="preserve">El siguiente período está marcado por la crisis global y la  gran contracción del comercio internacional de 12,2% en 2009. En el sexenio 2008-2013 las exportaciones </w:t>
      </w:r>
      <w:r w:rsidR="00FA3089">
        <w:rPr>
          <w:bCs/>
          <w:color w:val="222222"/>
          <w:sz w:val="24"/>
          <w:szCs w:val="24"/>
          <w:shd w:val="clear" w:color="auto" w:fill="FFFFFF"/>
          <w:lang w:val="es-PE"/>
        </w:rPr>
        <w:t xml:space="preserve">de Chile </w:t>
      </w:r>
      <w:r w:rsidR="00EC7A3B" w:rsidRPr="00D068A6">
        <w:rPr>
          <w:bCs/>
          <w:color w:val="222222"/>
          <w:sz w:val="24"/>
          <w:szCs w:val="24"/>
          <w:shd w:val="clear" w:color="auto" w:fill="FFFFFF"/>
          <w:lang w:val="es-PE"/>
        </w:rPr>
        <w:t xml:space="preserve">se incrementaron apenas </w:t>
      </w:r>
      <w:r w:rsidR="00720C81" w:rsidRPr="00D068A6">
        <w:rPr>
          <w:bCs/>
          <w:color w:val="222222"/>
          <w:sz w:val="24"/>
          <w:szCs w:val="24"/>
          <w:shd w:val="clear" w:color="auto" w:fill="FFFFFF"/>
          <w:lang w:val="es-PE"/>
        </w:rPr>
        <w:t>0,9</w:t>
      </w:r>
      <w:r w:rsidR="00EC7A3B" w:rsidRPr="00D068A6">
        <w:rPr>
          <w:bCs/>
          <w:color w:val="222222"/>
          <w:sz w:val="24"/>
          <w:szCs w:val="24"/>
          <w:shd w:val="clear" w:color="auto" w:fill="FFFFFF"/>
          <w:lang w:val="es-PE"/>
        </w:rPr>
        <w:t xml:space="preserve">% anual,  y se estancaron en el bienio reciente (IPOM, 2016). Sin duda, la lentificación del comercio internacional a un promedio del orden de 2,5% anual desde 2009 es una  explicación del deterioro exportador, pero el conjunto de </w:t>
      </w:r>
      <w:r w:rsidR="007F7843">
        <w:rPr>
          <w:bCs/>
          <w:color w:val="222222"/>
          <w:sz w:val="24"/>
          <w:szCs w:val="24"/>
          <w:shd w:val="clear" w:color="auto" w:fill="FFFFFF"/>
          <w:lang w:val="es-PE"/>
        </w:rPr>
        <w:t>exportaciones</w:t>
      </w:r>
      <w:r w:rsidR="00EC7A3B" w:rsidRPr="00D068A6">
        <w:rPr>
          <w:bCs/>
          <w:color w:val="222222"/>
          <w:sz w:val="24"/>
          <w:szCs w:val="24"/>
          <w:shd w:val="clear" w:color="auto" w:fill="FFFFFF"/>
          <w:lang w:val="es-PE"/>
        </w:rPr>
        <w:t xml:space="preserve"> de Chile al exterior ha</w:t>
      </w:r>
      <w:r w:rsidR="007F7843">
        <w:rPr>
          <w:bCs/>
          <w:color w:val="222222"/>
          <w:sz w:val="24"/>
          <w:szCs w:val="24"/>
          <w:shd w:val="clear" w:color="auto" w:fill="FFFFFF"/>
          <w:lang w:val="es-PE"/>
        </w:rPr>
        <w:t>n</w:t>
      </w:r>
      <w:r w:rsidR="00EC7A3B" w:rsidRPr="00D068A6">
        <w:rPr>
          <w:bCs/>
          <w:color w:val="222222"/>
          <w:sz w:val="24"/>
          <w:szCs w:val="24"/>
          <w:shd w:val="clear" w:color="auto" w:fill="FFFFFF"/>
          <w:lang w:val="es-PE"/>
        </w:rPr>
        <w:t xml:space="preserve"> </w:t>
      </w:r>
      <w:r w:rsidR="007F7843">
        <w:rPr>
          <w:bCs/>
          <w:color w:val="222222"/>
          <w:sz w:val="24"/>
          <w:szCs w:val="24"/>
          <w:shd w:val="clear" w:color="auto" w:fill="FFFFFF"/>
          <w:lang w:val="es-PE"/>
        </w:rPr>
        <w:t>estado creciendo</w:t>
      </w:r>
      <w:r w:rsidR="007F7843" w:rsidRPr="00D068A6">
        <w:rPr>
          <w:bCs/>
          <w:color w:val="222222"/>
          <w:sz w:val="24"/>
          <w:szCs w:val="24"/>
          <w:shd w:val="clear" w:color="auto" w:fill="FFFFFF"/>
          <w:lang w:val="es-PE"/>
        </w:rPr>
        <w:t xml:space="preserve"> </w:t>
      </w:r>
      <w:r w:rsidR="00EC7A3B" w:rsidRPr="00D068A6">
        <w:rPr>
          <w:bCs/>
          <w:color w:val="222222"/>
          <w:sz w:val="24"/>
          <w:szCs w:val="24"/>
          <w:shd w:val="clear" w:color="auto" w:fill="FFFFFF"/>
          <w:lang w:val="es-PE"/>
        </w:rPr>
        <w:t xml:space="preserve">aún más lento. A su vez, el número de empresas exportadoras </w:t>
      </w:r>
      <w:r w:rsidR="00C43DE1" w:rsidRPr="00D068A6">
        <w:rPr>
          <w:bCs/>
          <w:color w:val="222222"/>
          <w:sz w:val="24"/>
          <w:szCs w:val="24"/>
          <w:shd w:val="clear" w:color="auto" w:fill="FFFFFF"/>
          <w:lang w:val="es-PE"/>
        </w:rPr>
        <w:t>y de</w:t>
      </w:r>
      <w:r w:rsidR="00EC7A3B" w:rsidRPr="00D068A6">
        <w:rPr>
          <w:bCs/>
          <w:color w:val="222222"/>
          <w:sz w:val="24"/>
          <w:szCs w:val="24"/>
          <w:shd w:val="clear" w:color="auto" w:fill="FFFFFF"/>
          <w:lang w:val="es-PE"/>
        </w:rPr>
        <w:t xml:space="preserve"> productos exportados también </w:t>
      </w:r>
      <w:r w:rsidR="007F7843">
        <w:rPr>
          <w:bCs/>
          <w:color w:val="222222"/>
          <w:sz w:val="24"/>
          <w:szCs w:val="24"/>
          <w:shd w:val="clear" w:color="auto" w:fill="FFFFFF"/>
          <w:lang w:val="es-PE"/>
        </w:rPr>
        <w:t>disminuyó</w:t>
      </w:r>
      <w:r w:rsidR="009E53D5" w:rsidRPr="00D068A6">
        <w:rPr>
          <w:bCs/>
          <w:color w:val="222222"/>
          <w:sz w:val="24"/>
          <w:szCs w:val="24"/>
          <w:shd w:val="clear" w:color="auto" w:fill="FFFFFF"/>
          <w:lang w:val="es-PE"/>
        </w:rPr>
        <w:t xml:space="preserve"> respecto al 2008</w:t>
      </w:r>
      <w:r w:rsidR="00EC7A3B" w:rsidRPr="00D068A6">
        <w:rPr>
          <w:bCs/>
          <w:color w:val="222222"/>
          <w:sz w:val="24"/>
          <w:szCs w:val="24"/>
          <w:shd w:val="clear" w:color="auto" w:fill="FFFFFF"/>
          <w:lang w:val="es-PE"/>
        </w:rPr>
        <w:t>, sin recuperarse hasta el presente</w:t>
      </w:r>
      <w:r w:rsidR="007629EE" w:rsidRPr="00D068A6">
        <w:rPr>
          <w:bCs/>
          <w:color w:val="222222"/>
          <w:sz w:val="24"/>
          <w:szCs w:val="24"/>
          <w:shd w:val="clear" w:color="auto" w:fill="FFFFFF"/>
          <w:lang w:val="es-PE"/>
        </w:rPr>
        <w:t xml:space="preserve"> </w:t>
      </w:r>
      <w:r w:rsidR="009E53D5" w:rsidRPr="00D068A6">
        <w:rPr>
          <w:bCs/>
          <w:color w:val="222222"/>
          <w:sz w:val="24"/>
          <w:szCs w:val="24"/>
          <w:shd w:val="clear" w:color="auto" w:fill="FFFFFF"/>
          <w:lang w:val="es-PE"/>
        </w:rPr>
        <w:t>(PRO-Chile, 2016)</w:t>
      </w:r>
      <w:r w:rsidR="00EC7A3B" w:rsidRPr="00D068A6">
        <w:rPr>
          <w:bCs/>
          <w:color w:val="222222"/>
          <w:sz w:val="24"/>
          <w:szCs w:val="24"/>
          <w:shd w:val="clear" w:color="auto" w:fill="FFFFFF"/>
          <w:lang w:val="es-PE"/>
        </w:rPr>
        <w:t xml:space="preserve">. </w:t>
      </w:r>
    </w:p>
    <w:p w14:paraId="4BB80DD3" w14:textId="03231363" w:rsidR="00EC7A3B" w:rsidRPr="00D068A6" w:rsidRDefault="00EC7A3B" w:rsidP="00EC0B62">
      <w:pPr>
        <w:spacing w:line="360" w:lineRule="auto"/>
        <w:ind w:firstLine="708"/>
        <w:contextualSpacing/>
        <w:jc w:val="both"/>
        <w:rPr>
          <w:bCs/>
          <w:color w:val="222222"/>
          <w:sz w:val="24"/>
          <w:szCs w:val="24"/>
          <w:shd w:val="clear" w:color="auto" w:fill="FFFFFF"/>
          <w:lang w:val="es-PE"/>
        </w:rPr>
      </w:pPr>
      <w:r w:rsidRPr="00D068A6">
        <w:rPr>
          <w:bCs/>
          <w:color w:val="222222"/>
          <w:sz w:val="24"/>
          <w:szCs w:val="24"/>
          <w:shd w:val="clear" w:color="auto" w:fill="FFFFFF"/>
          <w:lang w:val="es-PE"/>
        </w:rPr>
        <w:t xml:space="preserve">Desde  la perspectiva de  destinos geográficos, un rasgo sobresaliente es que, a diferencia de otros actores del comercio internacional, </w:t>
      </w:r>
      <w:r w:rsidR="00720C81" w:rsidRPr="00D068A6">
        <w:rPr>
          <w:bCs/>
          <w:color w:val="222222"/>
          <w:sz w:val="24"/>
          <w:szCs w:val="24"/>
          <w:shd w:val="clear" w:color="auto" w:fill="FFFFFF"/>
          <w:lang w:val="es-PE"/>
        </w:rPr>
        <w:t xml:space="preserve">Chile </w:t>
      </w:r>
      <w:r w:rsidRPr="00D068A6">
        <w:rPr>
          <w:bCs/>
          <w:color w:val="222222"/>
          <w:sz w:val="24"/>
          <w:szCs w:val="24"/>
          <w:shd w:val="clear" w:color="auto" w:fill="FFFFFF"/>
          <w:lang w:val="es-PE"/>
        </w:rPr>
        <w:t xml:space="preserve">aprovecha poco  su posición geográfica. Es un hecho que todavía la geografía </w:t>
      </w:r>
      <w:r w:rsidR="007F7843">
        <w:rPr>
          <w:bCs/>
          <w:color w:val="222222"/>
          <w:sz w:val="24"/>
          <w:szCs w:val="24"/>
          <w:shd w:val="clear" w:color="auto" w:fill="FFFFFF"/>
          <w:lang w:val="es-PE"/>
        </w:rPr>
        <w:t>tiene un gran peso en el destino</w:t>
      </w:r>
      <w:r w:rsidRPr="00D068A6">
        <w:rPr>
          <w:bCs/>
          <w:color w:val="222222"/>
          <w:sz w:val="24"/>
          <w:szCs w:val="24"/>
          <w:shd w:val="clear" w:color="auto" w:fill="FFFFFF"/>
          <w:lang w:val="es-PE"/>
        </w:rPr>
        <w:t xml:space="preserve"> del comercio internacional.  En contraste, Chile intercambia solo un sexto con la región, a pesar de que cerca de la mitad de sus limitadas exportaciones con mayor valor agregado se destinan a estos mercados. Los mercados de la región son cruciales para la diversificación de las exportaciones hacia el valor agregado y están sub-aprovechados. </w:t>
      </w:r>
      <w:r w:rsidR="00EC0B62" w:rsidRPr="00D068A6">
        <w:rPr>
          <w:bCs/>
          <w:color w:val="222222"/>
          <w:sz w:val="24"/>
          <w:szCs w:val="24"/>
          <w:shd w:val="clear" w:color="auto" w:fill="FFFFFF"/>
          <w:lang w:val="es-PE"/>
        </w:rPr>
        <w:t>Un acuerdo de convergencia de los numerosos procesos de integración regional podría contribuir a la reactivación de las economías de América Latina.</w:t>
      </w:r>
      <w:r w:rsidRPr="00D068A6">
        <w:rPr>
          <w:bCs/>
          <w:color w:val="222222"/>
          <w:sz w:val="24"/>
          <w:szCs w:val="24"/>
          <w:shd w:val="clear" w:color="auto" w:fill="FFFFFF"/>
          <w:lang w:val="es-PE"/>
        </w:rPr>
        <w:t xml:space="preserve"> </w:t>
      </w:r>
    </w:p>
    <w:p w14:paraId="1A2D17BA" w14:textId="73AB7502" w:rsidR="00EC7A3B" w:rsidRPr="00D068A6" w:rsidRDefault="00EC7A3B" w:rsidP="00EC7A3B">
      <w:pPr>
        <w:spacing w:line="360" w:lineRule="auto"/>
        <w:contextualSpacing/>
        <w:jc w:val="both"/>
        <w:rPr>
          <w:bCs/>
          <w:color w:val="222222"/>
          <w:sz w:val="24"/>
          <w:szCs w:val="24"/>
          <w:shd w:val="clear" w:color="auto" w:fill="FFFFFF"/>
          <w:lang w:val="es-PE"/>
        </w:rPr>
      </w:pPr>
      <w:r w:rsidRPr="00D068A6">
        <w:rPr>
          <w:bCs/>
          <w:color w:val="222222"/>
          <w:sz w:val="24"/>
          <w:szCs w:val="24"/>
          <w:shd w:val="clear" w:color="auto" w:fill="FFFFFF"/>
          <w:lang w:val="es-PE"/>
        </w:rPr>
        <w:t xml:space="preserve"> </w:t>
      </w:r>
      <w:r w:rsidRPr="00D068A6">
        <w:rPr>
          <w:bCs/>
          <w:color w:val="222222"/>
          <w:sz w:val="24"/>
          <w:szCs w:val="24"/>
          <w:shd w:val="clear" w:color="auto" w:fill="FFFFFF"/>
          <w:lang w:val="es-PE"/>
        </w:rPr>
        <w:tab/>
        <w:t xml:space="preserve">Una variable decisiva en la pérdida de dinamismo del  volumen y la calidad de las exportaciones es el retroceso en la política cambiaria. </w:t>
      </w:r>
      <w:r w:rsidR="00582782" w:rsidRPr="00D068A6">
        <w:rPr>
          <w:bCs/>
          <w:color w:val="222222"/>
          <w:sz w:val="24"/>
          <w:szCs w:val="24"/>
          <w:shd w:val="clear" w:color="auto" w:fill="FFFFFF"/>
          <w:lang w:val="es-PE"/>
        </w:rPr>
        <w:t>En la sección 1 se expuso</w:t>
      </w:r>
      <w:r w:rsidRPr="00D068A6">
        <w:rPr>
          <w:bCs/>
          <w:color w:val="222222"/>
          <w:sz w:val="24"/>
          <w:szCs w:val="24"/>
          <w:shd w:val="clear" w:color="auto" w:fill="FFFFFF"/>
          <w:lang w:val="es-PE"/>
        </w:rPr>
        <w:t xml:space="preserve"> la </w:t>
      </w:r>
      <w:r w:rsidRPr="00D068A6">
        <w:rPr>
          <w:bCs/>
          <w:color w:val="222222"/>
          <w:sz w:val="24"/>
          <w:szCs w:val="24"/>
          <w:shd w:val="clear" w:color="auto" w:fill="FFFFFF"/>
          <w:lang w:val="es-PE"/>
        </w:rPr>
        <w:lastRenderedPageBreak/>
        <w:t>liberalización del tipo de cambio</w:t>
      </w:r>
      <w:r w:rsidR="00FA3089">
        <w:rPr>
          <w:bCs/>
          <w:color w:val="222222"/>
          <w:sz w:val="24"/>
          <w:szCs w:val="24"/>
          <w:shd w:val="clear" w:color="auto" w:fill="FFFFFF"/>
          <w:lang w:val="es-PE"/>
        </w:rPr>
        <w:t>,</w:t>
      </w:r>
      <w:r w:rsidRPr="00D068A6">
        <w:rPr>
          <w:bCs/>
          <w:color w:val="222222"/>
          <w:sz w:val="24"/>
          <w:szCs w:val="24"/>
          <w:shd w:val="clear" w:color="auto" w:fill="FFFFFF"/>
          <w:lang w:val="es-PE"/>
        </w:rPr>
        <w:t xml:space="preserve"> del ingreso de  capitales financieros foráneos y </w:t>
      </w:r>
      <w:r w:rsidR="00FA3089">
        <w:rPr>
          <w:bCs/>
          <w:color w:val="222222"/>
          <w:sz w:val="24"/>
          <w:szCs w:val="24"/>
          <w:shd w:val="clear" w:color="auto" w:fill="FFFFFF"/>
          <w:lang w:val="es-PE"/>
        </w:rPr>
        <w:t xml:space="preserve">de las </w:t>
      </w:r>
      <w:r w:rsidRPr="00D068A6">
        <w:rPr>
          <w:bCs/>
          <w:color w:val="222222"/>
          <w:sz w:val="24"/>
          <w:szCs w:val="24"/>
          <w:shd w:val="clear" w:color="auto" w:fill="FFFFFF"/>
          <w:lang w:val="es-PE"/>
        </w:rPr>
        <w:t>salidas de capitales de residentes</w:t>
      </w:r>
      <w:r w:rsidR="007F7843">
        <w:rPr>
          <w:bCs/>
          <w:color w:val="222222"/>
          <w:sz w:val="24"/>
          <w:szCs w:val="24"/>
          <w:shd w:val="clear" w:color="auto" w:fill="FFFFFF"/>
          <w:lang w:val="es-PE"/>
        </w:rPr>
        <w:t>.</w:t>
      </w:r>
      <w:r w:rsidR="00582782" w:rsidRPr="00D068A6">
        <w:rPr>
          <w:bCs/>
          <w:color w:val="222222"/>
          <w:sz w:val="24"/>
          <w:szCs w:val="24"/>
          <w:shd w:val="clear" w:color="auto" w:fill="FFFFFF"/>
          <w:lang w:val="es-PE"/>
        </w:rPr>
        <w:t xml:space="preserve"> </w:t>
      </w:r>
      <w:r w:rsidR="007F7843">
        <w:rPr>
          <w:bCs/>
          <w:color w:val="222222"/>
          <w:sz w:val="24"/>
          <w:szCs w:val="24"/>
          <w:shd w:val="clear" w:color="auto" w:fill="FFFFFF"/>
          <w:lang w:val="es-PE"/>
        </w:rPr>
        <w:t>Con</w:t>
      </w:r>
      <w:r w:rsidR="00582782" w:rsidRPr="00D068A6">
        <w:rPr>
          <w:bCs/>
          <w:color w:val="222222"/>
          <w:sz w:val="24"/>
          <w:szCs w:val="24"/>
          <w:shd w:val="clear" w:color="auto" w:fill="FFFFFF"/>
          <w:lang w:val="es-PE"/>
        </w:rPr>
        <w:t xml:space="preserve"> ello</w:t>
      </w:r>
      <w:r w:rsidRPr="00D068A6">
        <w:rPr>
          <w:bCs/>
          <w:color w:val="222222"/>
          <w:sz w:val="24"/>
          <w:szCs w:val="24"/>
          <w:shd w:val="clear" w:color="auto" w:fill="FFFFFF"/>
          <w:lang w:val="es-PE"/>
        </w:rPr>
        <w:t xml:space="preserve"> la economía nacional entró de lleno a la globalización de la volatilidad financiera</w:t>
      </w:r>
      <w:r w:rsidR="00E7589E" w:rsidRPr="00D068A6">
        <w:rPr>
          <w:bCs/>
          <w:color w:val="222222"/>
          <w:sz w:val="24"/>
          <w:szCs w:val="24"/>
          <w:shd w:val="clear" w:color="auto" w:fill="FFFFFF"/>
          <w:lang w:val="es-PE"/>
        </w:rPr>
        <w:t>;</w:t>
      </w:r>
      <w:r w:rsidRPr="00D068A6">
        <w:rPr>
          <w:bCs/>
          <w:color w:val="222222"/>
          <w:sz w:val="24"/>
          <w:szCs w:val="24"/>
          <w:shd w:val="clear" w:color="auto" w:fill="FFFFFF"/>
          <w:lang w:val="es-PE"/>
        </w:rPr>
        <w:t xml:space="preserve"> de </w:t>
      </w:r>
      <w:r w:rsidR="00E7589E" w:rsidRPr="00D068A6">
        <w:rPr>
          <w:bCs/>
          <w:color w:val="222222"/>
          <w:sz w:val="24"/>
          <w:szCs w:val="24"/>
          <w:shd w:val="clear" w:color="auto" w:fill="FFFFFF"/>
          <w:lang w:val="es-PE"/>
        </w:rPr>
        <w:t>el</w:t>
      </w:r>
      <w:r w:rsidRPr="00D068A6">
        <w:rPr>
          <w:bCs/>
          <w:color w:val="222222"/>
          <w:sz w:val="24"/>
          <w:szCs w:val="24"/>
          <w:shd w:val="clear" w:color="auto" w:fill="FFFFFF"/>
          <w:lang w:val="es-PE"/>
        </w:rPr>
        <w:t xml:space="preserve">la se  había  librado  al inicio del retorno a la democracia, gracias a la regulación contra-cíclica de la cuenta de  capitales y  del tipo de cambio. </w:t>
      </w:r>
    </w:p>
    <w:p w14:paraId="4C7D6D9D" w14:textId="58A1F5C5" w:rsidR="00A33523" w:rsidRPr="00D068A6" w:rsidRDefault="006A0D37" w:rsidP="005A3472">
      <w:pPr>
        <w:spacing w:line="360" w:lineRule="auto"/>
        <w:ind w:firstLine="708"/>
        <w:jc w:val="both"/>
        <w:rPr>
          <w:bCs/>
          <w:color w:val="222222"/>
          <w:sz w:val="24"/>
          <w:szCs w:val="24"/>
          <w:shd w:val="clear" w:color="auto" w:fill="FFFFFF"/>
          <w:lang w:val="es-PE"/>
        </w:rPr>
      </w:pPr>
      <w:r w:rsidRPr="00D068A6">
        <w:rPr>
          <w:bCs/>
          <w:color w:val="222222"/>
          <w:sz w:val="24"/>
          <w:szCs w:val="24"/>
          <w:shd w:val="clear" w:color="auto" w:fill="FFFFFF"/>
          <w:lang w:val="es-PE"/>
        </w:rPr>
        <w:t xml:space="preserve">Como </w:t>
      </w:r>
      <w:r w:rsidR="005A3472" w:rsidRPr="00D068A6">
        <w:rPr>
          <w:bCs/>
          <w:color w:val="222222"/>
          <w:sz w:val="24"/>
          <w:szCs w:val="24"/>
          <w:shd w:val="clear" w:color="auto" w:fill="FFFFFF"/>
          <w:lang w:val="es-PE"/>
        </w:rPr>
        <w:t>lo</w:t>
      </w:r>
      <w:r w:rsidRPr="00D068A6">
        <w:rPr>
          <w:bCs/>
          <w:color w:val="222222"/>
          <w:sz w:val="24"/>
          <w:szCs w:val="24"/>
          <w:shd w:val="clear" w:color="auto" w:fill="FFFFFF"/>
          <w:lang w:val="es-PE"/>
        </w:rPr>
        <w:t xml:space="preserve"> ilustró e</w:t>
      </w:r>
      <w:r w:rsidR="00EC7A3B" w:rsidRPr="00D068A6">
        <w:rPr>
          <w:bCs/>
          <w:color w:val="222222"/>
          <w:sz w:val="24"/>
          <w:szCs w:val="24"/>
          <w:shd w:val="clear" w:color="auto" w:fill="FFFFFF"/>
          <w:lang w:val="es-PE"/>
        </w:rPr>
        <w:t>l gráfico 1</w:t>
      </w:r>
      <w:r w:rsidRPr="00D068A6">
        <w:rPr>
          <w:bCs/>
          <w:color w:val="222222"/>
          <w:sz w:val="24"/>
          <w:szCs w:val="24"/>
          <w:shd w:val="clear" w:color="auto" w:fill="FFFFFF"/>
          <w:lang w:val="es-PE"/>
        </w:rPr>
        <w:t>,</w:t>
      </w:r>
      <w:r w:rsidR="00EC7A3B" w:rsidRPr="00D068A6">
        <w:rPr>
          <w:bCs/>
          <w:color w:val="222222"/>
          <w:sz w:val="24"/>
          <w:szCs w:val="24"/>
          <w:shd w:val="clear" w:color="auto" w:fill="FFFFFF"/>
          <w:lang w:val="es-PE"/>
        </w:rPr>
        <w:t xml:space="preserve"> </w:t>
      </w:r>
      <w:r w:rsidRPr="00D068A6">
        <w:rPr>
          <w:bCs/>
          <w:color w:val="222222"/>
          <w:sz w:val="24"/>
          <w:szCs w:val="24"/>
          <w:shd w:val="clear" w:color="auto" w:fill="FFFFFF"/>
          <w:lang w:val="es-PE"/>
        </w:rPr>
        <w:t>el tipo de cambio exhibió una</w:t>
      </w:r>
      <w:r w:rsidR="00EC7A3B" w:rsidRPr="00D068A6">
        <w:rPr>
          <w:bCs/>
          <w:color w:val="222222"/>
          <w:sz w:val="24"/>
          <w:szCs w:val="24"/>
          <w:shd w:val="clear" w:color="auto" w:fill="FFFFFF"/>
          <w:lang w:val="es-PE"/>
        </w:rPr>
        <w:t xml:space="preserve">  evolución intensamente cíclica, respondiendo  al desempeño de los flujos de capitales y del precio del cobre, ambos marcadamente  volátiles en ciclos de mediano plazo. La cotización del dólar pasó por precios de $450, 760, 435, 680, 470, 720</w:t>
      </w:r>
      <w:r w:rsidR="00EC0B62" w:rsidRPr="00D068A6">
        <w:rPr>
          <w:bCs/>
          <w:color w:val="222222"/>
          <w:sz w:val="24"/>
          <w:szCs w:val="24"/>
          <w:shd w:val="clear" w:color="auto" w:fill="FFFFFF"/>
          <w:lang w:val="es-PE"/>
        </w:rPr>
        <w:t xml:space="preserve"> en tres ciclos</w:t>
      </w:r>
      <w:r w:rsidR="002312F3" w:rsidRPr="00D068A6">
        <w:rPr>
          <w:bCs/>
          <w:color w:val="222222"/>
          <w:sz w:val="24"/>
          <w:szCs w:val="24"/>
          <w:shd w:val="clear" w:color="auto" w:fill="FFFFFF"/>
          <w:lang w:val="es-PE"/>
        </w:rPr>
        <w:t xml:space="preserve"> prolongados</w:t>
      </w:r>
      <w:r w:rsidR="00EC7A3B" w:rsidRPr="00D068A6">
        <w:rPr>
          <w:bCs/>
          <w:color w:val="222222"/>
          <w:sz w:val="24"/>
          <w:szCs w:val="24"/>
          <w:shd w:val="clear" w:color="auto" w:fill="FFFFFF"/>
          <w:lang w:val="es-PE"/>
        </w:rPr>
        <w:t>;  esto, en una economía de mercado, en la que los precios relativos son cruciales</w:t>
      </w:r>
      <w:r w:rsidR="00EC0B62" w:rsidRPr="00D068A6">
        <w:rPr>
          <w:bCs/>
          <w:color w:val="222222"/>
          <w:sz w:val="24"/>
          <w:szCs w:val="24"/>
          <w:shd w:val="clear" w:color="auto" w:fill="FFFFFF"/>
          <w:lang w:val="es-PE"/>
        </w:rPr>
        <w:t xml:space="preserve"> por su influencia </w:t>
      </w:r>
      <w:r w:rsidR="00593645" w:rsidRPr="00D068A6">
        <w:rPr>
          <w:bCs/>
          <w:color w:val="222222"/>
          <w:sz w:val="24"/>
          <w:szCs w:val="24"/>
          <w:shd w:val="clear" w:color="auto" w:fill="FFFFFF"/>
          <w:lang w:val="es-PE"/>
        </w:rPr>
        <w:t xml:space="preserve">sobre </w:t>
      </w:r>
      <w:r w:rsidR="00EC0B62" w:rsidRPr="00D068A6">
        <w:rPr>
          <w:bCs/>
          <w:color w:val="222222"/>
          <w:sz w:val="24"/>
          <w:szCs w:val="24"/>
          <w:shd w:val="clear" w:color="auto" w:fill="FFFFFF"/>
          <w:lang w:val="es-PE"/>
        </w:rPr>
        <w:t>las expectativas y las decisiones de inversión</w:t>
      </w:r>
      <w:r w:rsidR="00EC7A3B" w:rsidRPr="00D068A6">
        <w:rPr>
          <w:bCs/>
          <w:color w:val="222222"/>
          <w:sz w:val="24"/>
          <w:szCs w:val="24"/>
          <w:shd w:val="clear" w:color="auto" w:fill="FFFFFF"/>
          <w:lang w:val="es-PE"/>
        </w:rPr>
        <w:t xml:space="preserve">. </w:t>
      </w:r>
    </w:p>
    <w:p w14:paraId="2ADEB74C" w14:textId="13B4C8D7" w:rsidR="00A56021" w:rsidRDefault="00EC7A3B" w:rsidP="00EC7A3B">
      <w:pPr>
        <w:spacing w:line="360" w:lineRule="auto"/>
        <w:ind w:firstLine="708"/>
        <w:jc w:val="both"/>
        <w:rPr>
          <w:sz w:val="24"/>
          <w:szCs w:val="24"/>
          <w:lang w:val="es-PE"/>
        </w:rPr>
      </w:pPr>
      <w:r w:rsidRPr="00D068A6">
        <w:rPr>
          <w:bCs/>
          <w:color w:val="222222"/>
          <w:sz w:val="24"/>
          <w:szCs w:val="24"/>
          <w:shd w:val="clear" w:color="auto" w:fill="FFFFFF"/>
          <w:lang w:val="es-PE"/>
        </w:rPr>
        <w:t xml:space="preserve">Este tipo de volatilidad de mediano plazo es la que provoca más daños regresivos y recesivos. El tipo de cambio es el vínculo entre la economía interna y la internacional: </w:t>
      </w:r>
      <w:r w:rsidR="00095C6F">
        <w:rPr>
          <w:bCs/>
          <w:color w:val="222222"/>
          <w:sz w:val="24"/>
          <w:szCs w:val="24"/>
          <w:shd w:val="clear" w:color="auto" w:fill="FFFFFF"/>
          <w:lang w:val="es-PE"/>
        </w:rPr>
        <w:t xml:space="preserve">entregando </w:t>
      </w:r>
      <w:r w:rsidRPr="00D068A6">
        <w:rPr>
          <w:bCs/>
          <w:color w:val="222222"/>
          <w:sz w:val="24"/>
          <w:szCs w:val="24"/>
          <w:shd w:val="clear" w:color="auto" w:fill="FFFFFF"/>
          <w:lang w:val="es-PE"/>
        </w:rPr>
        <w:t xml:space="preserve">señales a los inversionistas productivos, tanto </w:t>
      </w:r>
      <w:r w:rsidR="001B2701">
        <w:rPr>
          <w:bCs/>
          <w:color w:val="222222"/>
          <w:sz w:val="24"/>
          <w:szCs w:val="24"/>
          <w:shd w:val="clear" w:color="auto" w:fill="FFFFFF"/>
          <w:lang w:val="es-PE"/>
        </w:rPr>
        <w:t xml:space="preserve">a </w:t>
      </w:r>
      <w:r w:rsidRPr="00D068A6">
        <w:rPr>
          <w:bCs/>
          <w:color w:val="222222"/>
          <w:sz w:val="24"/>
          <w:szCs w:val="24"/>
          <w:shd w:val="clear" w:color="auto" w:fill="FFFFFF"/>
          <w:lang w:val="es-PE"/>
        </w:rPr>
        <w:t xml:space="preserve">los de exportaciones como </w:t>
      </w:r>
      <w:r w:rsidR="001B2701">
        <w:rPr>
          <w:bCs/>
          <w:color w:val="222222"/>
          <w:sz w:val="24"/>
          <w:szCs w:val="24"/>
          <w:shd w:val="clear" w:color="auto" w:fill="FFFFFF"/>
          <w:lang w:val="es-PE"/>
        </w:rPr>
        <w:t xml:space="preserve">a </w:t>
      </w:r>
      <w:r w:rsidRPr="00D068A6">
        <w:rPr>
          <w:bCs/>
          <w:color w:val="222222"/>
          <w:sz w:val="24"/>
          <w:szCs w:val="24"/>
          <w:shd w:val="clear" w:color="auto" w:fill="FFFFFF"/>
          <w:lang w:val="es-PE"/>
        </w:rPr>
        <w:t xml:space="preserve">los que compiten con las importaciones. </w:t>
      </w:r>
      <w:r w:rsidR="00E7589E" w:rsidRPr="00D068A6">
        <w:rPr>
          <w:bCs/>
          <w:color w:val="222222"/>
          <w:sz w:val="24"/>
          <w:szCs w:val="24"/>
          <w:shd w:val="clear" w:color="auto" w:fill="FFFFFF"/>
          <w:lang w:val="es-PE"/>
        </w:rPr>
        <w:t>En efecto, h</w:t>
      </w:r>
      <w:r w:rsidR="00A33523" w:rsidRPr="00D068A6">
        <w:rPr>
          <w:bCs/>
          <w:color w:val="222222"/>
          <w:sz w:val="24"/>
          <w:szCs w:val="24"/>
          <w:shd w:val="clear" w:color="auto" w:fill="FFFFFF"/>
          <w:lang w:val="es-PE"/>
        </w:rPr>
        <w:t>abitualmente se enfatiza el impacto sobre el volumen de las exportaciones, pero hay otros dos efectos muy relevantes</w:t>
      </w:r>
      <w:r w:rsidR="00167528" w:rsidRPr="00D068A6">
        <w:rPr>
          <w:sz w:val="24"/>
          <w:szCs w:val="24"/>
          <w:lang w:val="es-PE"/>
        </w:rPr>
        <w:t>.</w:t>
      </w:r>
    </w:p>
    <w:p w14:paraId="2988B5BF" w14:textId="77777777" w:rsidR="00A56021" w:rsidRDefault="00167528" w:rsidP="00EC7A3B">
      <w:pPr>
        <w:spacing w:line="360" w:lineRule="auto"/>
        <w:ind w:firstLine="708"/>
        <w:jc w:val="both"/>
        <w:rPr>
          <w:sz w:val="24"/>
          <w:szCs w:val="24"/>
          <w:lang w:val="es-PE"/>
        </w:rPr>
      </w:pPr>
      <w:r w:rsidRPr="00D068A6">
        <w:rPr>
          <w:sz w:val="24"/>
          <w:szCs w:val="24"/>
          <w:lang w:val="es-PE"/>
        </w:rPr>
        <w:t xml:space="preserve"> </w:t>
      </w:r>
      <w:r w:rsidR="00045859" w:rsidRPr="00D068A6">
        <w:rPr>
          <w:sz w:val="24"/>
          <w:szCs w:val="24"/>
          <w:lang w:val="es-PE"/>
        </w:rPr>
        <w:t xml:space="preserve">Uno es el valor agregado de las exportaciones. Se trata del componente </w:t>
      </w:r>
      <w:r w:rsidR="00A56021">
        <w:rPr>
          <w:sz w:val="24"/>
          <w:szCs w:val="24"/>
          <w:lang w:val="es-PE"/>
        </w:rPr>
        <w:t>local</w:t>
      </w:r>
      <w:r w:rsidR="00045859" w:rsidRPr="00D068A6">
        <w:rPr>
          <w:sz w:val="24"/>
          <w:szCs w:val="24"/>
          <w:lang w:val="es-PE"/>
        </w:rPr>
        <w:t xml:space="preserve"> de las exportaciones</w:t>
      </w:r>
      <w:r w:rsidR="00A56021">
        <w:rPr>
          <w:sz w:val="24"/>
          <w:szCs w:val="24"/>
          <w:lang w:val="es-PE"/>
        </w:rPr>
        <w:t>; solo ese componente del valor bruto de las exportaciones</w:t>
      </w:r>
      <w:r w:rsidR="00045859" w:rsidRPr="00D068A6">
        <w:rPr>
          <w:sz w:val="24"/>
          <w:szCs w:val="24"/>
          <w:lang w:val="es-PE"/>
        </w:rPr>
        <w:t xml:space="preserve"> </w:t>
      </w:r>
      <w:r w:rsidR="00A56021">
        <w:rPr>
          <w:sz w:val="24"/>
          <w:szCs w:val="24"/>
          <w:lang w:val="es-PE"/>
        </w:rPr>
        <w:t xml:space="preserve">es el </w:t>
      </w:r>
      <w:r w:rsidR="00045859" w:rsidRPr="00D068A6">
        <w:rPr>
          <w:sz w:val="24"/>
          <w:szCs w:val="24"/>
          <w:lang w:val="es-PE"/>
        </w:rPr>
        <w:t xml:space="preserve">que forma parte del PBI. Naturalmente, tanto la apreciación de la tasa de cambio como la inestabilidad desalientan la suma de valor interno de las exportaciones. </w:t>
      </w:r>
    </w:p>
    <w:p w14:paraId="4EF3FAA2" w14:textId="020A0495" w:rsidR="00EC7A3B" w:rsidRPr="00D068A6" w:rsidRDefault="00045859" w:rsidP="00EC7A3B">
      <w:pPr>
        <w:spacing w:line="360" w:lineRule="auto"/>
        <w:ind w:firstLine="708"/>
        <w:jc w:val="both"/>
        <w:rPr>
          <w:bCs/>
          <w:color w:val="222222"/>
          <w:sz w:val="24"/>
          <w:szCs w:val="24"/>
          <w:shd w:val="clear" w:color="auto" w:fill="FFFFFF"/>
          <w:lang w:val="es-PE"/>
        </w:rPr>
      </w:pPr>
      <w:r w:rsidRPr="00D068A6">
        <w:rPr>
          <w:sz w:val="24"/>
          <w:szCs w:val="24"/>
          <w:lang w:val="es-PE"/>
        </w:rPr>
        <w:t>El otro es que el aumento registrado de las importaciones no es irrelevante para el crecimiento sostenido y la igualdad debido al impacto en la calidad del empleo y en los balances de las P</w:t>
      </w:r>
      <w:r w:rsidR="00877B41">
        <w:rPr>
          <w:sz w:val="24"/>
          <w:szCs w:val="24"/>
          <w:lang w:val="es-PE"/>
        </w:rPr>
        <w:t>Y</w:t>
      </w:r>
      <w:r w:rsidRPr="00D068A6">
        <w:rPr>
          <w:sz w:val="24"/>
          <w:szCs w:val="24"/>
          <w:lang w:val="es-PE"/>
        </w:rPr>
        <w:t>ME</w:t>
      </w:r>
      <w:r w:rsidR="00A56021">
        <w:rPr>
          <w:sz w:val="24"/>
          <w:szCs w:val="24"/>
          <w:lang w:val="es-PE"/>
        </w:rPr>
        <w:t>s,</w:t>
      </w:r>
      <w:r w:rsidRPr="00D068A6">
        <w:rPr>
          <w:sz w:val="24"/>
          <w:szCs w:val="24"/>
          <w:lang w:val="es-PE"/>
        </w:rPr>
        <w:t xml:space="preserve"> </w:t>
      </w:r>
      <w:r w:rsidR="00A56021">
        <w:rPr>
          <w:sz w:val="24"/>
          <w:szCs w:val="24"/>
          <w:lang w:val="es-PE"/>
        </w:rPr>
        <w:t xml:space="preserve">las </w:t>
      </w:r>
      <w:r w:rsidRPr="00D068A6">
        <w:rPr>
          <w:sz w:val="24"/>
          <w:szCs w:val="24"/>
          <w:lang w:val="es-PE"/>
        </w:rPr>
        <w:t>que tienen que competir con las importaciones en</w:t>
      </w:r>
      <w:r w:rsidR="00880228" w:rsidRPr="00D068A6">
        <w:rPr>
          <w:sz w:val="24"/>
          <w:szCs w:val="24"/>
          <w:lang w:val="es-PE"/>
        </w:rPr>
        <w:t xml:space="preserve"> </w:t>
      </w:r>
      <w:r w:rsidR="00095C6F">
        <w:rPr>
          <w:sz w:val="24"/>
          <w:szCs w:val="24"/>
          <w:lang w:val="es-PE"/>
        </w:rPr>
        <w:t xml:space="preserve">un </w:t>
      </w:r>
      <w:r w:rsidR="00880228" w:rsidRPr="00D068A6">
        <w:rPr>
          <w:sz w:val="24"/>
          <w:szCs w:val="24"/>
          <w:lang w:val="es-PE"/>
        </w:rPr>
        <w:t xml:space="preserve">entorno donde básicamente </w:t>
      </w:r>
      <w:r w:rsidRPr="00D068A6">
        <w:rPr>
          <w:sz w:val="24"/>
          <w:szCs w:val="24"/>
          <w:lang w:val="es-PE"/>
        </w:rPr>
        <w:t xml:space="preserve"> </w:t>
      </w:r>
      <w:r w:rsidR="00880228" w:rsidRPr="00D068A6">
        <w:rPr>
          <w:sz w:val="24"/>
          <w:szCs w:val="24"/>
          <w:lang w:val="es-PE"/>
        </w:rPr>
        <w:t>no existen aranceles y con un t</w:t>
      </w:r>
      <w:r w:rsidR="00095C6F">
        <w:rPr>
          <w:sz w:val="24"/>
          <w:szCs w:val="24"/>
          <w:lang w:val="es-PE"/>
        </w:rPr>
        <w:t>ipo</w:t>
      </w:r>
      <w:r w:rsidR="00880228" w:rsidRPr="00D068A6">
        <w:rPr>
          <w:sz w:val="24"/>
          <w:szCs w:val="24"/>
          <w:lang w:val="es-PE"/>
        </w:rPr>
        <w:t xml:space="preserve"> de cambio real apreciad</w:t>
      </w:r>
      <w:r w:rsidR="00095C6F">
        <w:rPr>
          <w:sz w:val="24"/>
          <w:szCs w:val="24"/>
          <w:lang w:val="es-PE"/>
        </w:rPr>
        <w:t>o</w:t>
      </w:r>
      <w:r w:rsidR="00167528" w:rsidRPr="00D068A6">
        <w:rPr>
          <w:sz w:val="24"/>
          <w:szCs w:val="24"/>
          <w:lang w:val="es-PE"/>
        </w:rPr>
        <w:t>.</w:t>
      </w:r>
      <w:r w:rsidR="00A33523" w:rsidRPr="00D068A6">
        <w:rPr>
          <w:sz w:val="24"/>
          <w:szCs w:val="24"/>
          <w:lang w:val="es-PE"/>
        </w:rPr>
        <w:t xml:space="preserve"> </w:t>
      </w:r>
      <w:r w:rsidR="00EC7A3B" w:rsidRPr="00D068A6">
        <w:rPr>
          <w:bCs/>
          <w:color w:val="222222"/>
          <w:sz w:val="24"/>
          <w:szCs w:val="24"/>
          <w:shd w:val="clear" w:color="auto" w:fill="FFFFFF"/>
          <w:lang w:val="es-PE"/>
        </w:rPr>
        <w:t xml:space="preserve">En particular, las PYMEs sufrieron  </w:t>
      </w:r>
      <w:r w:rsidR="00EC7A3B" w:rsidRPr="001B2701">
        <w:rPr>
          <w:bCs/>
          <w:color w:val="222222"/>
          <w:sz w:val="24"/>
          <w:szCs w:val="24"/>
          <w:shd w:val="clear" w:color="auto" w:fill="FFFFFF"/>
          <w:lang w:val="es-PE"/>
        </w:rPr>
        <w:t>golpes</w:t>
      </w:r>
      <w:r w:rsidR="00EC7A3B" w:rsidRPr="00D068A6">
        <w:rPr>
          <w:bCs/>
          <w:color w:val="222222"/>
          <w:sz w:val="24"/>
          <w:szCs w:val="24"/>
          <w:shd w:val="clear" w:color="auto" w:fill="FFFFFF"/>
          <w:lang w:val="es-PE"/>
        </w:rPr>
        <w:t xml:space="preserve"> de competencia externa en los  periodos de apreciación  no compensados por los de  alza del TC</w:t>
      </w:r>
      <w:r w:rsidR="001B2701">
        <w:rPr>
          <w:bCs/>
          <w:color w:val="222222"/>
          <w:sz w:val="24"/>
          <w:szCs w:val="24"/>
          <w:shd w:val="clear" w:color="auto" w:fill="FFFFFF"/>
          <w:lang w:val="es-PE"/>
        </w:rPr>
        <w:t>R</w:t>
      </w:r>
      <w:r w:rsidR="00EC7A3B" w:rsidRPr="00D068A6">
        <w:rPr>
          <w:bCs/>
          <w:color w:val="222222"/>
          <w:sz w:val="24"/>
          <w:szCs w:val="24"/>
          <w:shd w:val="clear" w:color="auto" w:fill="FFFFFF"/>
          <w:lang w:val="es-PE"/>
        </w:rPr>
        <w:t xml:space="preserve">. En parte, porque en situaciones de cotización alta del dólar, </w:t>
      </w:r>
      <w:r w:rsidR="00E7589E" w:rsidRPr="00D068A6">
        <w:rPr>
          <w:bCs/>
          <w:color w:val="222222"/>
          <w:sz w:val="24"/>
          <w:szCs w:val="24"/>
          <w:shd w:val="clear" w:color="auto" w:fill="FFFFFF"/>
          <w:lang w:val="es-PE"/>
        </w:rPr>
        <w:t xml:space="preserve">con frecuencia ha </w:t>
      </w:r>
      <w:r w:rsidR="00A56021">
        <w:rPr>
          <w:bCs/>
          <w:color w:val="222222"/>
          <w:sz w:val="24"/>
          <w:szCs w:val="24"/>
          <w:shd w:val="clear" w:color="auto" w:fill="FFFFFF"/>
          <w:lang w:val="es-PE"/>
        </w:rPr>
        <w:t>prevalecido</w:t>
      </w:r>
      <w:r w:rsidR="00E7589E" w:rsidRPr="00D068A6">
        <w:rPr>
          <w:bCs/>
          <w:color w:val="222222"/>
          <w:sz w:val="24"/>
          <w:szCs w:val="24"/>
          <w:shd w:val="clear" w:color="auto" w:fill="FFFFFF"/>
          <w:lang w:val="es-PE"/>
        </w:rPr>
        <w:t xml:space="preserve"> una demanda interna deprimida</w:t>
      </w:r>
      <w:r w:rsidR="00095C6F">
        <w:rPr>
          <w:bCs/>
          <w:color w:val="222222"/>
          <w:sz w:val="24"/>
          <w:szCs w:val="24"/>
          <w:shd w:val="clear" w:color="auto" w:fill="FFFFFF"/>
          <w:lang w:val="es-PE"/>
        </w:rPr>
        <w:t>. A esto se suma</w:t>
      </w:r>
      <w:r w:rsidR="00E7589E" w:rsidRPr="00D068A6">
        <w:rPr>
          <w:bCs/>
          <w:color w:val="222222"/>
          <w:sz w:val="24"/>
          <w:szCs w:val="24"/>
          <w:shd w:val="clear" w:color="auto" w:fill="FFFFFF"/>
          <w:lang w:val="es-PE"/>
        </w:rPr>
        <w:t xml:space="preserve"> </w:t>
      </w:r>
      <w:r w:rsidR="00095C6F">
        <w:rPr>
          <w:bCs/>
          <w:color w:val="222222"/>
          <w:sz w:val="24"/>
          <w:szCs w:val="24"/>
          <w:shd w:val="clear" w:color="auto" w:fill="FFFFFF"/>
          <w:lang w:val="es-PE"/>
        </w:rPr>
        <w:t>una</w:t>
      </w:r>
      <w:r w:rsidR="00E7589E" w:rsidRPr="00D068A6">
        <w:rPr>
          <w:bCs/>
          <w:color w:val="222222"/>
          <w:sz w:val="24"/>
          <w:szCs w:val="24"/>
          <w:shd w:val="clear" w:color="auto" w:fill="FFFFFF"/>
          <w:lang w:val="es-PE"/>
        </w:rPr>
        <w:t xml:space="preserve"> tendencia del sistema </w:t>
      </w:r>
      <w:r w:rsidR="00EC7A3B" w:rsidRPr="00D068A6">
        <w:rPr>
          <w:bCs/>
          <w:color w:val="222222"/>
          <w:sz w:val="24"/>
          <w:szCs w:val="24"/>
          <w:shd w:val="clear" w:color="auto" w:fill="FFFFFF"/>
          <w:lang w:val="es-PE"/>
        </w:rPr>
        <w:t xml:space="preserve">crediticio </w:t>
      </w:r>
      <w:r w:rsidR="00E7589E" w:rsidRPr="00D068A6">
        <w:rPr>
          <w:bCs/>
          <w:color w:val="222222"/>
          <w:sz w:val="24"/>
          <w:szCs w:val="24"/>
          <w:shd w:val="clear" w:color="auto" w:fill="FFFFFF"/>
          <w:lang w:val="es-PE"/>
        </w:rPr>
        <w:t>más</w:t>
      </w:r>
      <w:r w:rsidR="00EC7A3B" w:rsidRPr="00D068A6">
        <w:rPr>
          <w:bCs/>
          <w:color w:val="222222"/>
          <w:sz w:val="24"/>
          <w:szCs w:val="24"/>
          <w:shd w:val="clear" w:color="auto" w:fill="FFFFFF"/>
          <w:lang w:val="es-PE"/>
        </w:rPr>
        <w:t xml:space="preserve"> restrictiv</w:t>
      </w:r>
      <w:r w:rsidR="00095C6F">
        <w:rPr>
          <w:bCs/>
          <w:color w:val="222222"/>
          <w:sz w:val="24"/>
          <w:szCs w:val="24"/>
          <w:shd w:val="clear" w:color="auto" w:fill="FFFFFF"/>
          <w:lang w:val="es-PE"/>
        </w:rPr>
        <w:t>a</w:t>
      </w:r>
      <w:r w:rsidR="00E7589E" w:rsidRPr="00D068A6">
        <w:rPr>
          <w:bCs/>
          <w:color w:val="222222"/>
          <w:sz w:val="24"/>
          <w:szCs w:val="24"/>
          <w:shd w:val="clear" w:color="auto" w:fill="FFFFFF"/>
          <w:lang w:val="es-PE"/>
        </w:rPr>
        <w:t xml:space="preserve"> con las PYMEs</w:t>
      </w:r>
      <w:r w:rsidR="00095C6F">
        <w:rPr>
          <w:bCs/>
          <w:color w:val="222222"/>
          <w:sz w:val="24"/>
          <w:szCs w:val="24"/>
          <w:shd w:val="clear" w:color="auto" w:fill="FFFFFF"/>
          <w:lang w:val="es-PE"/>
        </w:rPr>
        <w:t>,</w:t>
      </w:r>
      <w:r w:rsidR="00E7589E" w:rsidRPr="00D068A6">
        <w:rPr>
          <w:bCs/>
          <w:color w:val="222222"/>
          <w:sz w:val="24"/>
          <w:szCs w:val="24"/>
          <w:shd w:val="clear" w:color="auto" w:fill="FFFFFF"/>
          <w:lang w:val="es-PE"/>
        </w:rPr>
        <w:t xml:space="preserve"> elev</w:t>
      </w:r>
      <w:r w:rsidR="00095C6F">
        <w:rPr>
          <w:bCs/>
          <w:color w:val="222222"/>
          <w:sz w:val="24"/>
          <w:szCs w:val="24"/>
          <w:shd w:val="clear" w:color="auto" w:fill="FFFFFF"/>
          <w:lang w:val="es-PE"/>
        </w:rPr>
        <w:t>ando</w:t>
      </w:r>
      <w:r w:rsidR="00E7589E" w:rsidRPr="00D068A6">
        <w:rPr>
          <w:bCs/>
          <w:color w:val="222222"/>
          <w:sz w:val="24"/>
          <w:szCs w:val="24"/>
          <w:shd w:val="clear" w:color="auto" w:fill="FFFFFF"/>
          <w:lang w:val="es-PE"/>
        </w:rPr>
        <w:t xml:space="preserve"> las</w:t>
      </w:r>
      <w:r w:rsidR="00EC7A3B" w:rsidRPr="00D068A6">
        <w:rPr>
          <w:bCs/>
          <w:color w:val="222222"/>
          <w:sz w:val="24"/>
          <w:szCs w:val="24"/>
          <w:shd w:val="clear" w:color="auto" w:fill="FFFFFF"/>
          <w:lang w:val="es-PE"/>
        </w:rPr>
        <w:t xml:space="preserve"> tasas de interés </w:t>
      </w:r>
      <w:r w:rsidR="00E7589E" w:rsidRPr="00D068A6">
        <w:rPr>
          <w:bCs/>
          <w:color w:val="222222"/>
          <w:sz w:val="24"/>
          <w:szCs w:val="24"/>
          <w:shd w:val="clear" w:color="auto" w:fill="FFFFFF"/>
          <w:lang w:val="es-PE"/>
        </w:rPr>
        <w:t>más a ellas que a los deudores grandes</w:t>
      </w:r>
      <w:r w:rsidR="00EC7A3B" w:rsidRPr="00D068A6">
        <w:rPr>
          <w:bCs/>
          <w:color w:val="222222"/>
          <w:sz w:val="24"/>
          <w:szCs w:val="24"/>
          <w:shd w:val="clear" w:color="auto" w:fill="FFFFFF"/>
          <w:lang w:val="es-PE"/>
        </w:rPr>
        <w:t xml:space="preserve">; una falla económica y social, depresiva del desarrollo y regresiva. </w:t>
      </w:r>
    </w:p>
    <w:p w14:paraId="7B4DDBFC" w14:textId="4E49EB61" w:rsidR="00EC7A3B" w:rsidRPr="00D068A6" w:rsidRDefault="00EC7A3B" w:rsidP="00EC0B62">
      <w:pPr>
        <w:spacing w:line="360" w:lineRule="auto"/>
        <w:contextualSpacing/>
        <w:jc w:val="both"/>
        <w:rPr>
          <w:bCs/>
          <w:color w:val="222222"/>
          <w:sz w:val="24"/>
          <w:szCs w:val="24"/>
          <w:shd w:val="clear" w:color="auto" w:fill="FFFFFF"/>
          <w:lang w:val="es-PE"/>
        </w:rPr>
      </w:pPr>
      <w:r w:rsidRPr="00D068A6">
        <w:rPr>
          <w:bCs/>
          <w:color w:val="222222"/>
          <w:sz w:val="24"/>
          <w:szCs w:val="24"/>
          <w:shd w:val="clear" w:color="auto" w:fill="FFFFFF"/>
          <w:lang w:val="es-PE"/>
        </w:rPr>
        <w:lastRenderedPageBreak/>
        <w:tab/>
        <w:t>El Banco Central, responsable de la liberalización del precio del dólar</w:t>
      </w:r>
      <w:r w:rsidR="00EC0B62" w:rsidRPr="00D068A6">
        <w:rPr>
          <w:bCs/>
          <w:color w:val="222222"/>
          <w:sz w:val="24"/>
          <w:szCs w:val="24"/>
          <w:shd w:val="clear" w:color="auto" w:fill="FFFFFF"/>
          <w:lang w:val="es-PE"/>
        </w:rPr>
        <w:t>,</w:t>
      </w:r>
      <w:r w:rsidRPr="00D068A6">
        <w:rPr>
          <w:bCs/>
          <w:color w:val="222222"/>
          <w:sz w:val="24"/>
          <w:szCs w:val="24"/>
          <w:shd w:val="clear" w:color="auto" w:fill="FFFFFF"/>
          <w:lang w:val="es-PE"/>
        </w:rPr>
        <w:t xml:space="preserve"> renunció a </w:t>
      </w:r>
      <w:r w:rsidR="003E75B8">
        <w:rPr>
          <w:bCs/>
          <w:color w:val="222222"/>
          <w:sz w:val="24"/>
          <w:szCs w:val="24"/>
          <w:shd w:val="clear" w:color="auto" w:fill="FFFFFF"/>
          <w:lang w:val="es-PE"/>
        </w:rPr>
        <w:t>tener</w:t>
      </w:r>
      <w:r w:rsidR="003E75B8" w:rsidRPr="00D068A6">
        <w:rPr>
          <w:bCs/>
          <w:color w:val="222222"/>
          <w:sz w:val="24"/>
          <w:szCs w:val="24"/>
          <w:shd w:val="clear" w:color="auto" w:fill="FFFFFF"/>
          <w:lang w:val="es-PE"/>
        </w:rPr>
        <w:t xml:space="preserve"> </w:t>
      </w:r>
      <w:r w:rsidRPr="00D068A6">
        <w:rPr>
          <w:bCs/>
          <w:color w:val="222222"/>
          <w:sz w:val="24"/>
          <w:szCs w:val="24"/>
          <w:shd w:val="clear" w:color="auto" w:fill="FFFFFF"/>
          <w:lang w:val="es-PE"/>
        </w:rPr>
        <w:t xml:space="preserve">una política activa. Reiteradamente expresó que el tipo de cambio observado era consistente con “los fundamentos de la economía”: </w:t>
      </w:r>
      <w:r w:rsidR="00095C6F">
        <w:rPr>
          <w:bCs/>
          <w:color w:val="222222"/>
          <w:sz w:val="24"/>
          <w:szCs w:val="24"/>
          <w:shd w:val="clear" w:color="auto" w:fill="FFFFFF"/>
          <w:lang w:val="es-PE"/>
        </w:rPr>
        <w:t xml:space="preserve">a </w:t>
      </w:r>
      <w:r w:rsidRPr="00D068A6">
        <w:rPr>
          <w:bCs/>
          <w:color w:val="222222"/>
          <w:sz w:val="24"/>
          <w:szCs w:val="24"/>
          <w:shd w:val="clear" w:color="auto" w:fill="FFFFFF"/>
          <w:lang w:val="es-PE"/>
        </w:rPr>
        <w:t>precios del dólar, por ejemplo,</w:t>
      </w:r>
      <w:r w:rsidR="00095C6F">
        <w:rPr>
          <w:bCs/>
          <w:color w:val="222222"/>
          <w:sz w:val="24"/>
          <w:szCs w:val="24"/>
          <w:shd w:val="clear" w:color="auto" w:fill="FFFFFF"/>
          <w:lang w:val="es-PE"/>
        </w:rPr>
        <w:t xml:space="preserve"> tan diversos como</w:t>
      </w:r>
      <w:r w:rsidRPr="00D068A6">
        <w:rPr>
          <w:bCs/>
          <w:color w:val="222222"/>
          <w:sz w:val="24"/>
          <w:szCs w:val="24"/>
          <w:shd w:val="clear" w:color="auto" w:fill="FFFFFF"/>
          <w:lang w:val="es-PE"/>
        </w:rPr>
        <w:t xml:space="preserve"> $450  y $7</w:t>
      </w:r>
      <w:r w:rsidR="00771C7C" w:rsidRPr="00D068A6">
        <w:rPr>
          <w:bCs/>
          <w:color w:val="222222"/>
          <w:sz w:val="24"/>
          <w:szCs w:val="24"/>
          <w:shd w:val="clear" w:color="auto" w:fill="FFFFFF"/>
          <w:lang w:val="es-PE"/>
        </w:rPr>
        <w:t>0</w:t>
      </w:r>
      <w:r w:rsidRPr="00D068A6">
        <w:rPr>
          <w:bCs/>
          <w:color w:val="222222"/>
          <w:sz w:val="24"/>
          <w:szCs w:val="24"/>
          <w:shd w:val="clear" w:color="auto" w:fill="FFFFFF"/>
          <w:lang w:val="es-PE"/>
        </w:rPr>
        <w:t>0. Incluso,  si se controla por el precio del cobre y de otras exportaciones, como lo hacen las cuentas nacionales calculadas por el mismo Banco Central, mostraban que las importaciones crecían mucho más rápido que las exportaciones</w:t>
      </w:r>
      <w:r w:rsidR="00771C7C" w:rsidRPr="00D068A6">
        <w:rPr>
          <w:bCs/>
          <w:color w:val="222222"/>
          <w:sz w:val="24"/>
          <w:szCs w:val="24"/>
          <w:shd w:val="clear" w:color="auto" w:fill="FFFFFF"/>
          <w:lang w:val="es-PE"/>
        </w:rPr>
        <w:t>. E</w:t>
      </w:r>
      <w:r w:rsidR="001B2701">
        <w:rPr>
          <w:bCs/>
          <w:color w:val="222222"/>
          <w:sz w:val="24"/>
          <w:szCs w:val="24"/>
          <w:shd w:val="clear" w:color="auto" w:fill="FFFFFF"/>
          <w:lang w:val="es-PE"/>
        </w:rPr>
        <w:t>n efecto, e</w:t>
      </w:r>
      <w:r w:rsidR="00771C7C" w:rsidRPr="00D068A6">
        <w:rPr>
          <w:bCs/>
          <w:color w:val="222222"/>
          <w:sz w:val="24"/>
          <w:szCs w:val="24"/>
          <w:shd w:val="clear" w:color="auto" w:fill="FFFFFF"/>
          <w:lang w:val="es-PE"/>
        </w:rPr>
        <w:t>l cuadro</w:t>
      </w:r>
      <w:r w:rsidR="00533BF6" w:rsidRPr="00D068A6">
        <w:rPr>
          <w:bCs/>
          <w:color w:val="222222"/>
          <w:sz w:val="24"/>
          <w:szCs w:val="24"/>
          <w:shd w:val="clear" w:color="auto" w:fill="FFFFFF"/>
          <w:lang w:val="es-PE"/>
        </w:rPr>
        <w:t xml:space="preserve"> 5</w:t>
      </w:r>
      <w:r w:rsidR="00771C7C" w:rsidRPr="00D068A6">
        <w:rPr>
          <w:bCs/>
          <w:color w:val="222222"/>
          <w:sz w:val="24"/>
          <w:szCs w:val="24"/>
          <w:shd w:val="clear" w:color="auto" w:fill="FFFFFF"/>
          <w:lang w:val="es-PE"/>
        </w:rPr>
        <w:t xml:space="preserve"> muestra cómo el volumen de las exportaciones se expandió apenas 6% entre 2007 </w:t>
      </w:r>
      <w:r w:rsidR="009333C5">
        <w:rPr>
          <w:bCs/>
          <w:color w:val="222222"/>
          <w:sz w:val="24"/>
          <w:szCs w:val="24"/>
          <w:shd w:val="clear" w:color="auto" w:fill="FFFFFF"/>
          <w:lang w:val="es-PE"/>
        </w:rPr>
        <w:t xml:space="preserve">(el anterior </w:t>
      </w:r>
      <w:r w:rsidR="009333C5" w:rsidRPr="009333C5">
        <w:rPr>
          <w:bCs/>
          <w:i/>
          <w:color w:val="222222"/>
          <w:sz w:val="24"/>
          <w:szCs w:val="24"/>
          <w:shd w:val="clear" w:color="auto" w:fill="FFFFFF"/>
          <w:lang w:val="es-PE"/>
        </w:rPr>
        <w:t>peak</w:t>
      </w:r>
      <w:r w:rsidR="009333C5">
        <w:rPr>
          <w:bCs/>
          <w:color w:val="222222"/>
          <w:sz w:val="24"/>
          <w:szCs w:val="24"/>
          <w:shd w:val="clear" w:color="auto" w:fill="FFFFFF"/>
          <w:lang w:val="es-PE"/>
        </w:rPr>
        <w:t xml:space="preserve"> de actividad más cercano al PIB*) </w:t>
      </w:r>
      <w:r w:rsidR="00771C7C" w:rsidRPr="00D068A6">
        <w:rPr>
          <w:bCs/>
          <w:color w:val="222222"/>
          <w:sz w:val="24"/>
          <w:szCs w:val="24"/>
          <w:shd w:val="clear" w:color="auto" w:fill="FFFFFF"/>
          <w:lang w:val="es-PE"/>
        </w:rPr>
        <w:t xml:space="preserve">y 2013 </w:t>
      </w:r>
      <w:r w:rsidR="009333C5">
        <w:rPr>
          <w:bCs/>
          <w:color w:val="222222"/>
          <w:sz w:val="24"/>
          <w:szCs w:val="24"/>
          <w:shd w:val="clear" w:color="auto" w:fill="FFFFFF"/>
          <w:lang w:val="es-PE"/>
        </w:rPr>
        <w:t xml:space="preserve">(el más reciente </w:t>
      </w:r>
      <w:r w:rsidR="009333C5" w:rsidRPr="009333C5">
        <w:rPr>
          <w:bCs/>
          <w:i/>
          <w:color w:val="222222"/>
          <w:sz w:val="24"/>
          <w:szCs w:val="24"/>
          <w:shd w:val="clear" w:color="auto" w:fill="FFFFFF"/>
          <w:lang w:val="es-PE"/>
        </w:rPr>
        <w:t>peak</w:t>
      </w:r>
      <w:r w:rsidR="009333C5">
        <w:rPr>
          <w:bCs/>
          <w:color w:val="222222"/>
          <w:sz w:val="24"/>
          <w:szCs w:val="24"/>
          <w:shd w:val="clear" w:color="auto" w:fill="FFFFFF"/>
          <w:lang w:val="es-PE"/>
        </w:rPr>
        <w:t xml:space="preserve">) </w:t>
      </w:r>
      <w:r w:rsidR="00771C7C" w:rsidRPr="00D068A6">
        <w:rPr>
          <w:bCs/>
          <w:color w:val="222222"/>
          <w:sz w:val="24"/>
          <w:szCs w:val="24"/>
          <w:shd w:val="clear" w:color="auto" w:fill="FFFFFF"/>
          <w:lang w:val="es-PE"/>
        </w:rPr>
        <w:t>en tanto que las importaciones lo hicieron en 45%</w:t>
      </w:r>
      <w:r w:rsidRPr="00D068A6">
        <w:rPr>
          <w:bCs/>
          <w:color w:val="222222"/>
          <w:sz w:val="24"/>
          <w:szCs w:val="24"/>
          <w:shd w:val="clear" w:color="auto" w:fill="FFFFFF"/>
          <w:lang w:val="es-PE"/>
        </w:rPr>
        <w:t>.</w:t>
      </w:r>
      <w:r w:rsidR="00F943FF" w:rsidRPr="00D068A6">
        <w:rPr>
          <w:bCs/>
          <w:color w:val="222222"/>
          <w:sz w:val="24"/>
          <w:szCs w:val="24"/>
          <w:shd w:val="clear" w:color="auto" w:fill="FFFFFF"/>
          <w:lang w:val="es-PE"/>
        </w:rPr>
        <w:t xml:space="preserve"> </w:t>
      </w:r>
      <w:r w:rsidR="007A52AA" w:rsidRPr="00D068A6">
        <w:rPr>
          <w:bCs/>
          <w:color w:val="222222"/>
          <w:sz w:val="24"/>
          <w:szCs w:val="24"/>
          <w:shd w:val="clear" w:color="auto" w:fill="FFFFFF"/>
          <w:lang w:val="es-PE"/>
        </w:rPr>
        <w:t>Como se expuso, la cuenta corriente  exhibió un</w:t>
      </w:r>
      <w:r w:rsidR="007A52AA" w:rsidRPr="00D068A6">
        <w:rPr>
          <w:sz w:val="24"/>
          <w:szCs w:val="24"/>
          <w:lang w:val="es-PE"/>
        </w:rPr>
        <w:t xml:space="preserve"> déficit de 3,</w:t>
      </w:r>
      <w:r w:rsidR="00771C7C" w:rsidRPr="00D068A6">
        <w:rPr>
          <w:sz w:val="24"/>
          <w:szCs w:val="24"/>
          <w:lang w:val="es-PE"/>
        </w:rPr>
        <w:t>8</w:t>
      </w:r>
      <w:r w:rsidR="007A52AA" w:rsidRPr="00D068A6">
        <w:rPr>
          <w:sz w:val="24"/>
          <w:szCs w:val="24"/>
          <w:lang w:val="es-PE"/>
        </w:rPr>
        <w:t>% del PIB en 2013 a pesar de la presencia de un precio del cobre notablemente elevado (US$3.3</w:t>
      </w:r>
      <w:r w:rsidR="00E7589E" w:rsidRPr="00D068A6">
        <w:rPr>
          <w:sz w:val="24"/>
          <w:szCs w:val="24"/>
          <w:lang w:val="es-PE"/>
        </w:rPr>
        <w:t>2</w:t>
      </w:r>
      <w:r w:rsidR="007A52AA" w:rsidRPr="00D068A6">
        <w:rPr>
          <w:sz w:val="24"/>
          <w:szCs w:val="24"/>
          <w:lang w:val="es-PE"/>
        </w:rPr>
        <w:t xml:space="preserve">/lb). </w:t>
      </w:r>
      <w:r w:rsidRPr="00D068A6">
        <w:rPr>
          <w:bCs/>
          <w:color w:val="222222"/>
          <w:sz w:val="24"/>
          <w:szCs w:val="24"/>
          <w:shd w:val="clear" w:color="auto" w:fill="FFFFFF"/>
          <w:lang w:val="es-PE"/>
        </w:rPr>
        <w:t xml:space="preserve">Es evidente que el </w:t>
      </w:r>
      <w:r w:rsidR="009333C5">
        <w:rPr>
          <w:bCs/>
          <w:color w:val="222222"/>
          <w:sz w:val="24"/>
          <w:szCs w:val="24"/>
          <w:shd w:val="clear" w:color="auto" w:fill="FFFFFF"/>
          <w:lang w:val="es-PE"/>
        </w:rPr>
        <w:t>tipo de cambio</w:t>
      </w:r>
      <w:r w:rsidRPr="00D068A6">
        <w:rPr>
          <w:bCs/>
          <w:color w:val="222222"/>
          <w:sz w:val="24"/>
          <w:szCs w:val="24"/>
          <w:shd w:val="clear" w:color="auto" w:fill="FFFFFF"/>
          <w:lang w:val="es-PE"/>
        </w:rPr>
        <w:t xml:space="preserve"> mayor correspondería más a “los fundamentos” antes que una cotización tan deprimida como $450. </w:t>
      </w:r>
    </w:p>
    <w:p w14:paraId="1E411E1D" w14:textId="61A99B2F" w:rsidR="00F943FF" w:rsidRPr="00D068A6" w:rsidRDefault="00F943FF" w:rsidP="00EC0B62">
      <w:pPr>
        <w:spacing w:line="360" w:lineRule="auto"/>
        <w:contextualSpacing/>
        <w:jc w:val="both"/>
        <w:rPr>
          <w:bCs/>
          <w:strike/>
          <w:color w:val="222222"/>
          <w:sz w:val="24"/>
          <w:szCs w:val="24"/>
          <w:shd w:val="clear" w:color="auto" w:fill="FFFFFF"/>
          <w:lang w:val="es-PE"/>
        </w:rPr>
      </w:pPr>
      <w:r w:rsidRPr="00D068A6">
        <w:rPr>
          <w:bCs/>
          <w:color w:val="222222"/>
          <w:sz w:val="24"/>
          <w:szCs w:val="24"/>
          <w:shd w:val="clear" w:color="auto" w:fill="FFFFFF"/>
          <w:lang w:val="es-PE"/>
        </w:rPr>
        <w:tab/>
      </w:r>
      <w:r w:rsidRPr="00D068A6">
        <w:rPr>
          <w:bCs/>
          <w:color w:val="222222"/>
          <w:sz w:val="24"/>
          <w:szCs w:val="24"/>
          <w:shd w:val="clear" w:color="auto" w:fill="FFFFFF"/>
          <w:lang w:val="es-PE"/>
        </w:rPr>
        <w:tab/>
      </w:r>
      <w:r w:rsidRPr="00D068A6">
        <w:rPr>
          <w:bCs/>
          <w:color w:val="222222"/>
          <w:sz w:val="24"/>
          <w:szCs w:val="24"/>
          <w:shd w:val="clear" w:color="auto" w:fill="FFFFFF"/>
          <w:lang w:val="es-PE"/>
        </w:rPr>
        <w:tab/>
      </w:r>
      <w:r w:rsidRPr="00D068A6">
        <w:rPr>
          <w:bCs/>
          <w:color w:val="222222"/>
          <w:sz w:val="24"/>
          <w:szCs w:val="24"/>
          <w:shd w:val="clear" w:color="auto" w:fill="FFFFFF"/>
          <w:lang w:val="es-PE"/>
        </w:rPr>
        <w:tab/>
      </w:r>
      <w:r w:rsidR="000C70FF" w:rsidRPr="00D068A6">
        <w:rPr>
          <w:bCs/>
          <w:color w:val="222222"/>
          <w:sz w:val="24"/>
          <w:szCs w:val="24"/>
          <w:shd w:val="clear" w:color="auto" w:fill="FFFFFF"/>
          <w:lang w:val="es-PE"/>
        </w:rPr>
        <w:tab/>
        <w:t xml:space="preserve">    Cuadro </w:t>
      </w:r>
      <w:r w:rsidR="00533BF6" w:rsidRPr="00D068A6">
        <w:rPr>
          <w:bCs/>
          <w:color w:val="222222"/>
          <w:sz w:val="24"/>
          <w:szCs w:val="24"/>
          <w:shd w:val="clear" w:color="auto" w:fill="FFFFFF"/>
          <w:lang w:val="es-PE"/>
        </w:rPr>
        <w:t>5</w:t>
      </w:r>
    </w:p>
    <w:p w14:paraId="74FD4A94" w14:textId="4248E235" w:rsidR="00EC7A3B" w:rsidRPr="00D068A6" w:rsidRDefault="000036AD" w:rsidP="00EC7A3B">
      <w:pPr>
        <w:spacing w:line="360" w:lineRule="auto"/>
        <w:ind w:firstLine="708"/>
        <w:contextualSpacing/>
        <w:jc w:val="both"/>
        <w:rPr>
          <w:bCs/>
          <w:color w:val="222222"/>
          <w:sz w:val="24"/>
          <w:szCs w:val="24"/>
          <w:shd w:val="clear" w:color="auto" w:fill="FFFFFF"/>
          <w:lang w:val="es-PE"/>
        </w:rPr>
      </w:pPr>
      <w:r w:rsidRPr="00D068A6">
        <w:rPr>
          <w:bCs/>
          <w:color w:val="222222"/>
          <w:sz w:val="24"/>
          <w:szCs w:val="24"/>
          <w:shd w:val="clear" w:color="auto" w:fill="FFFFFF"/>
          <w:lang w:val="es-PE"/>
        </w:rPr>
        <w:t>E</w:t>
      </w:r>
      <w:r w:rsidR="00EC7A3B" w:rsidRPr="00D068A6">
        <w:rPr>
          <w:bCs/>
          <w:color w:val="222222"/>
          <w:sz w:val="24"/>
          <w:szCs w:val="24"/>
          <w:shd w:val="clear" w:color="auto" w:fill="FFFFFF"/>
          <w:lang w:val="es-PE"/>
        </w:rPr>
        <w:t>n los 2000s Chile avanzaba en la firma de convenios de libre comercio con numerosos países</w:t>
      </w:r>
      <w:r w:rsidR="009333C5">
        <w:rPr>
          <w:bCs/>
          <w:color w:val="222222"/>
          <w:sz w:val="24"/>
          <w:szCs w:val="24"/>
          <w:shd w:val="clear" w:color="auto" w:fill="FFFFFF"/>
          <w:lang w:val="es-PE"/>
        </w:rPr>
        <w:t>,</w:t>
      </w:r>
      <w:r w:rsidR="00EC7A3B" w:rsidRPr="00D068A6">
        <w:rPr>
          <w:bCs/>
          <w:color w:val="222222"/>
          <w:sz w:val="24"/>
          <w:szCs w:val="24"/>
          <w:shd w:val="clear" w:color="auto" w:fill="FFFFFF"/>
          <w:lang w:val="es-PE"/>
        </w:rPr>
        <w:t xml:space="preserve"> en acuerdos binacionales</w:t>
      </w:r>
      <w:r w:rsidR="001B2701">
        <w:rPr>
          <w:bCs/>
          <w:color w:val="222222"/>
          <w:sz w:val="24"/>
          <w:szCs w:val="24"/>
          <w:shd w:val="clear" w:color="auto" w:fill="FFFFFF"/>
          <w:lang w:val="es-PE"/>
        </w:rPr>
        <w:t xml:space="preserve"> como con los EEUU</w:t>
      </w:r>
      <w:r w:rsidR="00EC7A3B" w:rsidRPr="00D068A6">
        <w:rPr>
          <w:bCs/>
          <w:color w:val="222222"/>
          <w:sz w:val="24"/>
          <w:szCs w:val="24"/>
          <w:shd w:val="clear" w:color="auto" w:fill="FFFFFF"/>
          <w:lang w:val="es-PE"/>
        </w:rPr>
        <w:t xml:space="preserve"> o  con agrupaciones de países como la Unión Europea; estos acuerdos contemplaban significativas reducciones de las restricciones que enfrentaban las exportaciones de Chile hacia esos socios comerciales. Desde la crisis global, la globalización comercial del mundo se lentificó, pero </w:t>
      </w:r>
      <w:r w:rsidR="00507146">
        <w:rPr>
          <w:bCs/>
          <w:color w:val="222222"/>
          <w:sz w:val="24"/>
          <w:szCs w:val="24"/>
          <w:shd w:val="clear" w:color="auto" w:fill="FFFFFF"/>
          <w:lang w:val="es-PE"/>
        </w:rPr>
        <w:t>Chile continu</w:t>
      </w:r>
      <w:r w:rsidR="001B2701">
        <w:rPr>
          <w:bCs/>
          <w:color w:val="222222"/>
          <w:sz w:val="24"/>
          <w:szCs w:val="24"/>
          <w:shd w:val="clear" w:color="auto" w:fill="FFFFFF"/>
          <w:lang w:val="es-PE"/>
        </w:rPr>
        <w:t>ó</w:t>
      </w:r>
      <w:r w:rsidR="00507146">
        <w:rPr>
          <w:bCs/>
          <w:color w:val="222222"/>
          <w:sz w:val="24"/>
          <w:szCs w:val="24"/>
          <w:shd w:val="clear" w:color="auto" w:fill="FFFFFF"/>
          <w:lang w:val="es-PE"/>
        </w:rPr>
        <w:t xml:space="preserve"> implementando sus acuerdos vigentes y firmando nuevos acuerdos comerciales </w:t>
      </w:r>
      <w:r w:rsidR="00EC7A3B" w:rsidRPr="00D068A6">
        <w:rPr>
          <w:bCs/>
          <w:color w:val="222222"/>
          <w:sz w:val="24"/>
          <w:szCs w:val="24"/>
          <w:shd w:val="clear" w:color="auto" w:fill="FFFFFF"/>
          <w:lang w:val="es-PE"/>
        </w:rPr>
        <w:t>(abarcando a 64 países que cubrían el 85% del PIB mundial en 2015 y recibían el 94 % de las exportaciones de Chile</w:t>
      </w:r>
      <w:r w:rsidR="009333C5">
        <w:rPr>
          <w:bCs/>
          <w:color w:val="222222"/>
          <w:sz w:val="24"/>
          <w:szCs w:val="24"/>
          <w:shd w:val="clear" w:color="auto" w:fill="FFFFFF"/>
          <w:lang w:val="es-PE"/>
        </w:rPr>
        <w:t>; DIRECON, 2016</w:t>
      </w:r>
      <w:r w:rsidR="00EC7A3B" w:rsidRPr="00D068A6">
        <w:rPr>
          <w:bCs/>
          <w:color w:val="222222"/>
          <w:sz w:val="24"/>
          <w:szCs w:val="24"/>
          <w:shd w:val="clear" w:color="auto" w:fill="FFFFFF"/>
          <w:lang w:val="es-PE"/>
        </w:rPr>
        <w:t xml:space="preserve">). No obstante, en Chile el retroceso </w:t>
      </w:r>
      <w:r w:rsidR="009333C5">
        <w:rPr>
          <w:bCs/>
          <w:color w:val="222222"/>
          <w:sz w:val="24"/>
          <w:szCs w:val="24"/>
          <w:shd w:val="clear" w:color="auto" w:fill="FFFFFF"/>
          <w:lang w:val="es-PE"/>
        </w:rPr>
        <w:t xml:space="preserve">exportador </w:t>
      </w:r>
      <w:r w:rsidR="00EC7A3B" w:rsidRPr="00D068A6">
        <w:rPr>
          <w:bCs/>
          <w:color w:val="222222"/>
          <w:sz w:val="24"/>
          <w:szCs w:val="24"/>
          <w:shd w:val="clear" w:color="auto" w:fill="FFFFFF"/>
          <w:lang w:val="es-PE"/>
        </w:rPr>
        <w:t xml:space="preserve">fue relativamente mayor que el intercambio mundial. </w:t>
      </w:r>
      <w:r w:rsidR="00F943FF" w:rsidRPr="00D068A6">
        <w:rPr>
          <w:bCs/>
          <w:color w:val="222222"/>
          <w:sz w:val="24"/>
          <w:szCs w:val="24"/>
          <w:shd w:val="clear" w:color="auto" w:fill="FFFFFF"/>
          <w:lang w:val="es-PE"/>
        </w:rPr>
        <w:t>Cabe reiterarlo d</w:t>
      </w:r>
      <w:r w:rsidR="00EC7A3B" w:rsidRPr="00D068A6">
        <w:rPr>
          <w:bCs/>
          <w:color w:val="222222"/>
          <w:sz w:val="24"/>
          <w:szCs w:val="24"/>
          <w:shd w:val="clear" w:color="auto" w:fill="FFFFFF"/>
          <w:lang w:val="es-PE"/>
        </w:rPr>
        <w:t>e nuevo, la política cambiaria surge como  una explicación fundamental, castigando a las exportaciones</w:t>
      </w:r>
      <w:r w:rsidR="00DB05A2" w:rsidRPr="00D068A6">
        <w:rPr>
          <w:bCs/>
          <w:color w:val="222222"/>
          <w:sz w:val="24"/>
          <w:szCs w:val="24"/>
          <w:shd w:val="clear" w:color="auto" w:fill="FFFFFF"/>
          <w:lang w:val="es-PE"/>
        </w:rPr>
        <w:t>, su valor agregado</w:t>
      </w:r>
      <w:r w:rsidR="00EC7A3B" w:rsidRPr="00D068A6">
        <w:rPr>
          <w:bCs/>
          <w:color w:val="222222"/>
          <w:sz w:val="24"/>
          <w:szCs w:val="24"/>
          <w:shd w:val="clear" w:color="auto" w:fill="FFFFFF"/>
          <w:lang w:val="es-PE"/>
        </w:rPr>
        <w:t xml:space="preserve"> y</w:t>
      </w:r>
      <w:r w:rsidR="00507146">
        <w:rPr>
          <w:bCs/>
          <w:color w:val="222222"/>
          <w:sz w:val="24"/>
          <w:szCs w:val="24"/>
          <w:shd w:val="clear" w:color="auto" w:fill="FFFFFF"/>
          <w:lang w:val="es-PE"/>
        </w:rPr>
        <w:t xml:space="preserve"> </w:t>
      </w:r>
      <w:r w:rsidR="00EC7A3B" w:rsidRPr="00D068A6">
        <w:rPr>
          <w:bCs/>
          <w:color w:val="222222"/>
          <w:sz w:val="24"/>
          <w:szCs w:val="24"/>
          <w:shd w:val="clear" w:color="auto" w:fill="FFFFFF"/>
          <w:lang w:val="es-PE"/>
        </w:rPr>
        <w:t>diversificación</w:t>
      </w:r>
      <w:r w:rsidR="00DB05A2" w:rsidRPr="00D068A6">
        <w:rPr>
          <w:bCs/>
          <w:color w:val="222222"/>
          <w:sz w:val="24"/>
          <w:szCs w:val="24"/>
          <w:shd w:val="clear" w:color="auto" w:fill="FFFFFF"/>
          <w:lang w:val="es-PE"/>
        </w:rPr>
        <w:t>,</w:t>
      </w:r>
      <w:r w:rsidR="00EC7A3B" w:rsidRPr="00D068A6">
        <w:rPr>
          <w:bCs/>
          <w:color w:val="222222"/>
          <w:sz w:val="24"/>
          <w:szCs w:val="24"/>
          <w:shd w:val="clear" w:color="auto" w:fill="FFFFFF"/>
          <w:lang w:val="es-PE"/>
        </w:rPr>
        <w:t xml:space="preserve"> y premiando a las importaciones a expensas del desarrollo de las PYMEs que compiten con las importaciones. </w:t>
      </w:r>
    </w:p>
    <w:p w14:paraId="34230FAB" w14:textId="34B7118E" w:rsidR="00DB05A2" w:rsidRPr="00D068A6" w:rsidRDefault="00EC7A3B" w:rsidP="00DB05A2">
      <w:pPr>
        <w:spacing w:line="360" w:lineRule="auto"/>
        <w:ind w:firstLine="708"/>
        <w:contextualSpacing/>
        <w:jc w:val="both"/>
        <w:rPr>
          <w:bCs/>
          <w:color w:val="222222"/>
          <w:sz w:val="24"/>
          <w:szCs w:val="24"/>
          <w:shd w:val="clear" w:color="auto" w:fill="FFFFFF"/>
          <w:lang w:val="es-PE"/>
        </w:rPr>
      </w:pPr>
      <w:r w:rsidRPr="00D068A6">
        <w:rPr>
          <w:bCs/>
          <w:color w:val="222222"/>
          <w:sz w:val="24"/>
          <w:szCs w:val="24"/>
          <w:shd w:val="clear" w:color="auto" w:fill="FFFFFF"/>
          <w:lang w:val="es-PE"/>
        </w:rPr>
        <w:t xml:space="preserve">El auge del precio del cobre jugó un papel determinante en la apreciación cambiaria desde 2004; el auge duró un decenio,  detenido brevemente en 2008-09. El aumento de los ingresos por las exportaciones del cobre fue acompañado por </w:t>
      </w:r>
      <w:r w:rsidR="004929DD">
        <w:rPr>
          <w:bCs/>
          <w:color w:val="222222"/>
          <w:sz w:val="24"/>
          <w:szCs w:val="24"/>
          <w:shd w:val="clear" w:color="auto" w:fill="FFFFFF"/>
          <w:lang w:val="es-PE"/>
        </w:rPr>
        <w:t>un</w:t>
      </w:r>
      <w:r w:rsidRPr="00D068A6">
        <w:rPr>
          <w:bCs/>
          <w:color w:val="222222"/>
          <w:sz w:val="24"/>
          <w:szCs w:val="24"/>
          <w:shd w:val="clear" w:color="auto" w:fill="FFFFFF"/>
          <w:lang w:val="es-PE"/>
        </w:rPr>
        <w:t xml:space="preserve"> retorno de</w:t>
      </w:r>
      <w:r w:rsidR="004929DD">
        <w:rPr>
          <w:bCs/>
          <w:color w:val="222222"/>
          <w:sz w:val="24"/>
          <w:szCs w:val="24"/>
          <w:shd w:val="clear" w:color="auto" w:fill="FFFFFF"/>
          <w:lang w:val="es-PE"/>
        </w:rPr>
        <w:t xml:space="preserve"> los</w:t>
      </w:r>
      <w:r w:rsidRPr="00D068A6">
        <w:rPr>
          <w:bCs/>
          <w:color w:val="222222"/>
          <w:sz w:val="24"/>
          <w:szCs w:val="24"/>
          <w:shd w:val="clear" w:color="auto" w:fill="FFFFFF"/>
          <w:lang w:val="es-PE"/>
        </w:rPr>
        <w:t xml:space="preserve"> flujos financieros </w:t>
      </w:r>
      <w:r w:rsidR="004929DD" w:rsidRPr="00D068A6">
        <w:rPr>
          <w:bCs/>
          <w:color w:val="222222"/>
          <w:sz w:val="24"/>
          <w:szCs w:val="24"/>
          <w:shd w:val="clear" w:color="auto" w:fill="FFFFFF"/>
          <w:lang w:val="es-PE"/>
        </w:rPr>
        <w:t>pro-cíclico</w:t>
      </w:r>
      <w:r w:rsidR="004929DD">
        <w:rPr>
          <w:bCs/>
          <w:color w:val="222222"/>
          <w:sz w:val="24"/>
          <w:szCs w:val="24"/>
          <w:shd w:val="clear" w:color="auto" w:fill="FFFFFF"/>
          <w:lang w:val="es-PE"/>
        </w:rPr>
        <w:t>s</w:t>
      </w:r>
      <w:r w:rsidRPr="00D068A6">
        <w:rPr>
          <w:bCs/>
          <w:color w:val="222222"/>
          <w:sz w:val="24"/>
          <w:szCs w:val="24"/>
          <w:shd w:val="clear" w:color="auto" w:fill="FFFFFF"/>
          <w:lang w:val="es-PE"/>
        </w:rPr>
        <w:t xml:space="preserve"> que habían  tendido a  retirarse en los años recesivos 1999-2003, cuando el precio del cobre estuvo bajo. </w:t>
      </w:r>
      <w:r w:rsidR="00DB05A2" w:rsidRPr="00D068A6">
        <w:rPr>
          <w:bCs/>
          <w:color w:val="222222"/>
          <w:sz w:val="24"/>
          <w:szCs w:val="24"/>
          <w:shd w:val="clear" w:color="auto" w:fill="FFFFFF"/>
          <w:lang w:val="es-PE"/>
        </w:rPr>
        <w:t>Pero ha sido el precio del  cobre el más influyente en los cambios de tendencia y en sus fluctuaciones al interior de</w:t>
      </w:r>
      <w:r w:rsidR="009333C5">
        <w:rPr>
          <w:bCs/>
          <w:color w:val="222222"/>
          <w:sz w:val="24"/>
          <w:szCs w:val="24"/>
          <w:shd w:val="clear" w:color="auto" w:fill="FFFFFF"/>
          <w:lang w:val="es-PE"/>
        </w:rPr>
        <w:t xml:space="preserve"> este ciclo</w:t>
      </w:r>
      <w:r w:rsidR="00DB05A2" w:rsidRPr="00D068A6">
        <w:rPr>
          <w:bCs/>
          <w:color w:val="222222"/>
          <w:sz w:val="24"/>
          <w:szCs w:val="24"/>
          <w:shd w:val="clear" w:color="auto" w:fill="FFFFFF"/>
          <w:lang w:val="es-PE"/>
        </w:rPr>
        <w:t xml:space="preserve">. El </w:t>
      </w:r>
      <w:r w:rsidR="00A03A1A" w:rsidRPr="00D068A6">
        <w:rPr>
          <w:bCs/>
          <w:color w:val="222222"/>
          <w:sz w:val="24"/>
          <w:szCs w:val="24"/>
          <w:shd w:val="clear" w:color="auto" w:fill="FFFFFF"/>
          <w:lang w:val="es-PE"/>
        </w:rPr>
        <w:t>gráfico</w:t>
      </w:r>
      <w:r w:rsidR="00DB05A2" w:rsidRPr="00D068A6">
        <w:rPr>
          <w:bCs/>
          <w:color w:val="222222"/>
          <w:sz w:val="24"/>
          <w:szCs w:val="24"/>
          <w:shd w:val="clear" w:color="auto" w:fill="FFFFFF"/>
          <w:lang w:val="es-PE"/>
        </w:rPr>
        <w:t xml:space="preserve"> </w:t>
      </w:r>
      <w:r w:rsidR="008427A9">
        <w:rPr>
          <w:bCs/>
          <w:color w:val="222222"/>
          <w:sz w:val="24"/>
          <w:szCs w:val="24"/>
          <w:shd w:val="clear" w:color="auto" w:fill="FFFFFF"/>
          <w:lang w:val="es-PE"/>
        </w:rPr>
        <w:t>3</w:t>
      </w:r>
      <w:r w:rsidR="00DB05A2" w:rsidRPr="00D068A6">
        <w:rPr>
          <w:bCs/>
          <w:color w:val="222222"/>
          <w:sz w:val="24"/>
          <w:szCs w:val="24"/>
          <w:shd w:val="clear" w:color="auto" w:fill="FFFFFF"/>
          <w:lang w:val="es-PE"/>
        </w:rPr>
        <w:t xml:space="preserve"> </w:t>
      </w:r>
      <w:r w:rsidR="00A8124A" w:rsidRPr="00D068A6">
        <w:rPr>
          <w:bCs/>
          <w:color w:val="222222"/>
          <w:sz w:val="24"/>
          <w:szCs w:val="24"/>
          <w:shd w:val="clear" w:color="auto" w:fill="FFFFFF"/>
          <w:lang w:val="es-PE"/>
        </w:rPr>
        <w:t xml:space="preserve">muestra </w:t>
      </w:r>
      <w:r w:rsidR="00A8124A" w:rsidRPr="00D068A6">
        <w:rPr>
          <w:bCs/>
          <w:color w:val="222222"/>
          <w:sz w:val="24"/>
          <w:szCs w:val="24"/>
          <w:shd w:val="clear" w:color="auto" w:fill="FFFFFF"/>
          <w:lang w:val="es-PE"/>
        </w:rPr>
        <w:lastRenderedPageBreak/>
        <w:t>la evolución diaria del precio del cobre y del precio del dólar</w:t>
      </w:r>
      <w:r w:rsidR="00A03A1A" w:rsidRPr="00D068A6">
        <w:rPr>
          <w:bCs/>
          <w:color w:val="222222"/>
          <w:sz w:val="24"/>
          <w:szCs w:val="24"/>
          <w:shd w:val="clear" w:color="auto" w:fill="FFFFFF"/>
          <w:lang w:val="es-PE"/>
        </w:rPr>
        <w:t xml:space="preserve"> durante los 16 meses más recientes</w:t>
      </w:r>
      <w:r w:rsidR="00A8124A" w:rsidRPr="00D068A6">
        <w:rPr>
          <w:bCs/>
          <w:color w:val="222222"/>
          <w:sz w:val="24"/>
          <w:szCs w:val="24"/>
          <w:shd w:val="clear" w:color="auto" w:fill="FFFFFF"/>
          <w:lang w:val="es-PE"/>
        </w:rPr>
        <w:t xml:space="preserve">. </w:t>
      </w:r>
      <w:r w:rsidR="004929DD">
        <w:rPr>
          <w:bCs/>
          <w:color w:val="222222"/>
          <w:sz w:val="24"/>
          <w:szCs w:val="24"/>
          <w:shd w:val="clear" w:color="auto" w:fill="FFFFFF"/>
          <w:lang w:val="es-PE"/>
        </w:rPr>
        <w:t>Esa</w:t>
      </w:r>
      <w:r w:rsidR="00A8124A" w:rsidRPr="00D068A6">
        <w:rPr>
          <w:bCs/>
          <w:color w:val="222222"/>
          <w:sz w:val="24"/>
          <w:szCs w:val="24"/>
          <w:shd w:val="clear" w:color="auto" w:fill="FFFFFF"/>
          <w:lang w:val="es-PE"/>
        </w:rPr>
        <w:t xml:space="preserve">  casi total correlación </w:t>
      </w:r>
      <w:r w:rsidR="004D55CD" w:rsidRPr="00D068A6">
        <w:rPr>
          <w:bCs/>
          <w:color w:val="222222"/>
          <w:sz w:val="24"/>
          <w:szCs w:val="24"/>
          <w:shd w:val="clear" w:color="auto" w:fill="FFFFFF"/>
          <w:lang w:val="es-PE"/>
        </w:rPr>
        <w:t>negativa</w:t>
      </w:r>
      <w:r w:rsidR="002D22BC" w:rsidRPr="00D068A6">
        <w:rPr>
          <w:bCs/>
          <w:color w:val="222222"/>
          <w:sz w:val="24"/>
          <w:szCs w:val="24"/>
          <w:shd w:val="clear" w:color="auto" w:fill="FFFFFF"/>
          <w:lang w:val="es-PE"/>
        </w:rPr>
        <w:t>, en esta etapa del ciclo,</w:t>
      </w:r>
      <w:r w:rsidR="004D55CD" w:rsidRPr="00D068A6">
        <w:rPr>
          <w:bCs/>
          <w:color w:val="222222"/>
          <w:sz w:val="24"/>
          <w:szCs w:val="24"/>
          <w:shd w:val="clear" w:color="auto" w:fill="FFFFFF"/>
          <w:lang w:val="es-PE"/>
        </w:rPr>
        <w:t xml:space="preserve"> </w:t>
      </w:r>
      <w:r w:rsidR="004929DD">
        <w:rPr>
          <w:bCs/>
          <w:color w:val="222222"/>
          <w:sz w:val="24"/>
          <w:szCs w:val="24"/>
          <w:shd w:val="clear" w:color="auto" w:fill="FFFFFF"/>
          <w:lang w:val="es-PE"/>
        </w:rPr>
        <w:t>genera un</w:t>
      </w:r>
      <w:r w:rsidR="00A8124A" w:rsidRPr="00D068A6">
        <w:rPr>
          <w:bCs/>
          <w:color w:val="222222"/>
          <w:sz w:val="24"/>
          <w:szCs w:val="24"/>
          <w:shd w:val="clear" w:color="auto" w:fill="FFFFFF"/>
          <w:lang w:val="es-PE"/>
        </w:rPr>
        <w:t xml:space="preserve"> impacto sobre las expectativas de los productores de transables, en particular l</w:t>
      </w:r>
      <w:r w:rsidR="000036AD" w:rsidRPr="00D068A6">
        <w:rPr>
          <w:bCs/>
          <w:color w:val="222222"/>
          <w:sz w:val="24"/>
          <w:szCs w:val="24"/>
          <w:shd w:val="clear" w:color="auto" w:fill="FFFFFF"/>
          <w:lang w:val="es-PE"/>
        </w:rPr>
        <w:t>a</w:t>
      </w:r>
      <w:r w:rsidR="00A8124A" w:rsidRPr="00D068A6">
        <w:rPr>
          <w:bCs/>
          <w:color w:val="222222"/>
          <w:sz w:val="24"/>
          <w:szCs w:val="24"/>
          <w:shd w:val="clear" w:color="auto" w:fill="FFFFFF"/>
          <w:lang w:val="es-PE"/>
        </w:rPr>
        <w:t xml:space="preserve">s </w:t>
      </w:r>
      <w:r w:rsidR="000036AD" w:rsidRPr="00D068A6">
        <w:rPr>
          <w:bCs/>
          <w:color w:val="222222"/>
          <w:sz w:val="24"/>
          <w:szCs w:val="24"/>
          <w:shd w:val="clear" w:color="auto" w:fill="FFFFFF"/>
          <w:lang w:val="es-PE"/>
        </w:rPr>
        <w:t>PYMEs</w:t>
      </w:r>
      <w:r w:rsidR="00A8124A" w:rsidRPr="00D068A6">
        <w:rPr>
          <w:bCs/>
          <w:color w:val="222222"/>
          <w:sz w:val="24"/>
          <w:szCs w:val="24"/>
          <w:shd w:val="clear" w:color="auto" w:fill="FFFFFF"/>
          <w:lang w:val="es-PE"/>
        </w:rPr>
        <w:t>. La creciente convicción de los emprendedores de que apenas  se empieza a recuperar el precio del cobre se inicia la escalada aprecia</w:t>
      </w:r>
      <w:r w:rsidR="0016776A">
        <w:rPr>
          <w:bCs/>
          <w:color w:val="222222"/>
          <w:sz w:val="24"/>
          <w:szCs w:val="24"/>
          <w:shd w:val="clear" w:color="auto" w:fill="FFFFFF"/>
          <w:lang w:val="es-PE"/>
        </w:rPr>
        <w:t>dora</w:t>
      </w:r>
      <w:r w:rsidR="00A03A1A" w:rsidRPr="00D068A6">
        <w:rPr>
          <w:bCs/>
          <w:color w:val="222222"/>
          <w:sz w:val="24"/>
          <w:szCs w:val="24"/>
          <w:shd w:val="clear" w:color="auto" w:fill="FFFFFF"/>
          <w:lang w:val="es-PE"/>
        </w:rPr>
        <w:t>, y el hecho de que ha sucedido reiteradamente desde fines de los 90s, desalienta la formación de capital y el esfuerzo en innovación</w:t>
      </w:r>
      <w:r w:rsidR="00A8124A" w:rsidRPr="00D068A6">
        <w:rPr>
          <w:bCs/>
          <w:color w:val="222222"/>
          <w:sz w:val="24"/>
          <w:szCs w:val="24"/>
          <w:shd w:val="clear" w:color="auto" w:fill="FFFFFF"/>
          <w:lang w:val="es-PE"/>
        </w:rPr>
        <w:t>. Ello contribuiría a</w:t>
      </w:r>
      <w:r w:rsidR="00B378F7" w:rsidRPr="00D068A6">
        <w:rPr>
          <w:bCs/>
          <w:color w:val="222222"/>
          <w:sz w:val="24"/>
          <w:szCs w:val="24"/>
          <w:shd w:val="clear" w:color="auto" w:fill="FFFFFF"/>
          <w:lang w:val="es-PE"/>
        </w:rPr>
        <w:t xml:space="preserve"> </w:t>
      </w:r>
      <w:r w:rsidR="00A8124A" w:rsidRPr="00D068A6">
        <w:rPr>
          <w:bCs/>
          <w:color w:val="222222"/>
          <w:sz w:val="24"/>
          <w:szCs w:val="24"/>
          <w:shd w:val="clear" w:color="auto" w:fill="FFFFFF"/>
          <w:lang w:val="es-PE"/>
        </w:rPr>
        <w:t>explicar</w:t>
      </w:r>
      <w:r w:rsidR="00A03A1A" w:rsidRPr="00D068A6">
        <w:rPr>
          <w:bCs/>
          <w:color w:val="222222"/>
          <w:sz w:val="24"/>
          <w:szCs w:val="24"/>
          <w:shd w:val="clear" w:color="auto" w:fill="FFFFFF"/>
          <w:lang w:val="es-PE"/>
        </w:rPr>
        <w:t xml:space="preserve"> (junto con los </w:t>
      </w:r>
      <w:r w:rsidR="00A03A1A" w:rsidRPr="00D068A6">
        <w:rPr>
          <w:bCs/>
          <w:i/>
          <w:color w:val="222222"/>
          <w:sz w:val="24"/>
          <w:szCs w:val="24"/>
          <w:shd w:val="clear" w:color="auto" w:fill="FFFFFF"/>
          <w:lang w:val="es-PE"/>
        </w:rPr>
        <w:t xml:space="preserve"> lag</w:t>
      </w:r>
      <w:r w:rsidR="00A03A1A" w:rsidRPr="00D068A6">
        <w:rPr>
          <w:bCs/>
          <w:color w:val="222222"/>
          <w:sz w:val="24"/>
          <w:szCs w:val="24"/>
          <w:shd w:val="clear" w:color="auto" w:fill="FFFFFF"/>
          <w:lang w:val="es-PE"/>
        </w:rPr>
        <w:t xml:space="preserve"> en los procesos de inversión</w:t>
      </w:r>
      <w:r w:rsidR="00F50750" w:rsidRPr="00D068A6">
        <w:rPr>
          <w:bCs/>
          <w:color w:val="222222"/>
          <w:sz w:val="24"/>
          <w:szCs w:val="24"/>
          <w:shd w:val="clear" w:color="auto" w:fill="FFFFFF"/>
          <w:lang w:val="es-PE"/>
        </w:rPr>
        <w:t xml:space="preserve"> y la incertidumbre vigente</w:t>
      </w:r>
      <w:r w:rsidR="00A03A1A" w:rsidRPr="00D068A6">
        <w:rPr>
          <w:bCs/>
          <w:color w:val="222222"/>
          <w:sz w:val="24"/>
          <w:szCs w:val="24"/>
          <w:shd w:val="clear" w:color="auto" w:fill="FFFFFF"/>
          <w:lang w:val="es-PE"/>
        </w:rPr>
        <w:t>)</w:t>
      </w:r>
      <w:r w:rsidR="00A8124A" w:rsidRPr="00D068A6">
        <w:rPr>
          <w:bCs/>
          <w:color w:val="222222"/>
          <w:sz w:val="24"/>
          <w:szCs w:val="24"/>
          <w:shd w:val="clear" w:color="auto" w:fill="FFFFFF"/>
          <w:lang w:val="es-PE"/>
        </w:rPr>
        <w:t xml:space="preserve"> por qué luego de </w:t>
      </w:r>
      <w:r w:rsidR="00F50750" w:rsidRPr="00D068A6">
        <w:rPr>
          <w:bCs/>
          <w:color w:val="222222"/>
          <w:sz w:val="24"/>
          <w:szCs w:val="24"/>
          <w:shd w:val="clear" w:color="auto" w:fill="FFFFFF"/>
          <w:lang w:val="es-PE"/>
        </w:rPr>
        <w:t>más de</w:t>
      </w:r>
      <w:r w:rsidR="00A8124A" w:rsidRPr="00D068A6">
        <w:rPr>
          <w:bCs/>
          <w:color w:val="222222"/>
          <w:sz w:val="24"/>
          <w:szCs w:val="24"/>
          <w:shd w:val="clear" w:color="auto" w:fill="FFFFFF"/>
          <w:lang w:val="es-PE"/>
        </w:rPr>
        <w:t xml:space="preserve"> dos años de tipo de cambio depreciado</w:t>
      </w:r>
      <w:r w:rsidR="00A03A1A" w:rsidRPr="00D068A6">
        <w:rPr>
          <w:bCs/>
          <w:color w:val="222222"/>
          <w:sz w:val="24"/>
          <w:szCs w:val="24"/>
          <w:shd w:val="clear" w:color="auto" w:fill="FFFFFF"/>
          <w:lang w:val="es-PE"/>
        </w:rPr>
        <w:t xml:space="preserve"> </w:t>
      </w:r>
      <w:r w:rsidR="00F50750" w:rsidRPr="00D068A6">
        <w:rPr>
          <w:bCs/>
          <w:color w:val="222222"/>
          <w:sz w:val="24"/>
          <w:szCs w:val="24"/>
          <w:shd w:val="clear" w:color="auto" w:fill="FFFFFF"/>
          <w:lang w:val="es-PE"/>
        </w:rPr>
        <w:t>desde 2014</w:t>
      </w:r>
      <w:r w:rsidR="00A8124A" w:rsidRPr="00D068A6">
        <w:rPr>
          <w:bCs/>
          <w:color w:val="222222"/>
          <w:sz w:val="24"/>
          <w:szCs w:val="24"/>
          <w:shd w:val="clear" w:color="auto" w:fill="FFFFFF"/>
          <w:lang w:val="es-PE"/>
        </w:rPr>
        <w:t xml:space="preserve">  la oferta  exportadora responde </w:t>
      </w:r>
      <w:r w:rsidR="00F50750" w:rsidRPr="00D068A6">
        <w:rPr>
          <w:bCs/>
          <w:color w:val="222222"/>
          <w:sz w:val="24"/>
          <w:szCs w:val="24"/>
          <w:shd w:val="clear" w:color="auto" w:fill="FFFFFF"/>
          <w:lang w:val="es-PE"/>
        </w:rPr>
        <w:t>en escasos rubros</w:t>
      </w:r>
      <w:r w:rsidR="00A8124A" w:rsidRPr="00D068A6">
        <w:rPr>
          <w:bCs/>
          <w:color w:val="222222"/>
          <w:sz w:val="24"/>
          <w:szCs w:val="24"/>
          <w:shd w:val="clear" w:color="auto" w:fill="FFFFFF"/>
          <w:lang w:val="es-PE"/>
        </w:rPr>
        <w:t>.</w:t>
      </w:r>
      <w:r w:rsidR="00DB05A2" w:rsidRPr="00D068A6">
        <w:rPr>
          <w:bCs/>
          <w:color w:val="222222"/>
          <w:sz w:val="24"/>
          <w:szCs w:val="24"/>
          <w:shd w:val="clear" w:color="auto" w:fill="FFFFFF"/>
          <w:lang w:val="es-PE"/>
        </w:rPr>
        <w:t xml:space="preserve"> </w:t>
      </w:r>
    </w:p>
    <w:p w14:paraId="311766E7" w14:textId="11EEA5FB" w:rsidR="00EC7A3B" w:rsidRPr="00D068A6" w:rsidRDefault="000D29FB" w:rsidP="000D29FB">
      <w:pPr>
        <w:spacing w:line="360" w:lineRule="auto"/>
        <w:ind w:firstLine="708"/>
        <w:contextualSpacing/>
        <w:jc w:val="both"/>
        <w:rPr>
          <w:bCs/>
          <w:color w:val="222222"/>
          <w:sz w:val="24"/>
          <w:szCs w:val="24"/>
          <w:shd w:val="clear" w:color="auto" w:fill="FFFFFF"/>
          <w:lang w:val="es-PE"/>
        </w:rPr>
      </w:pPr>
      <w:r w:rsidRPr="00D068A6">
        <w:rPr>
          <w:bCs/>
          <w:color w:val="222222"/>
          <w:sz w:val="24"/>
          <w:szCs w:val="24"/>
          <w:shd w:val="clear" w:color="auto" w:fill="FFFFFF"/>
          <w:lang w:val="es-PE"/>
        </w:rPr>
        <w:tab/>
      </w:r>
      <w:r w:rsidRPr="00D068A6">
        <w:rPr>
          <w:bCs/>
          <w:color w:val="222222"/>
          <w:sz w:val="24"/>
          <w:szCs w:val="24"/>
          <w:shd w:val="clear" w:color="auto" w:fill="FFFFFF"/>
          <w:lang w:val="es-PE"/>
        </w:rPr>
        <w:tab/>
      </w:r>
      <w:r w:rsidRPr="00D068A6">
        <w:rPr>
          <w:bCs/>
          <w:color w:val="222222"/>
          <w:sz w:val="24"/>
          <w:szCs w:val="24"/>
          <w:shd w:val="clear" w:color="auto" w:fill="FFFFFF"/>
          <w:lang w:val="es-PE"/>
        </w:rPr>
        <w:tab/>
      </w:r>
      <w:r w:rsidRPr="00D068A6">
        <w:rPr>
          <w:bCs/>
          <w:color w:val="222222"/>
          <w:sz w:val="24"/>
          <w:szCs w:val="24"/>
          <w:shd w:val="clear" w:color="auto" w:fill="FFFFFF"/>
          <w:lang w:val="es-PE"/>
        </w:rPr>
        <w:tab/>
      </w:r>
      <w:r w:rsidR="006041A0" w:rsidRPr="00D068A6">
        <w:rPr>
          <w:bCs/>
          <w:color w:val="222222"/>
          <w:sz w:val="24"/>
          <w:szCs w:val="24"/>
          <w:shd w:val="clear" w:color="auto" w:fill="FFFFFF"/>
          <w:lang w:val="es-PE"/>
        </w:rPr>
        <w:t>Gráfico</w:t>
      </w:r>
      <w:r w:rsidR="00533BF6" w:rsidRPr="00D068A6">
        <w:rPr>
          <w:bCs/>
          <w:color w:val="222222"/>
          <w:sz w:val="24"/>
          <w:szCs w:val="24"/>
          <w:shd w:val="clear" w:color="auto" w:fill="FFFFFF"/>
          <w:lang w:val="es-PE"/>
        </w:rPr>
        <w:t xml:space="preserve"> 3</w:t>
      </w:r>
    </w:p>
    <w:p w14:paraId="69D37485" w14:textId="029B6431" w:rsidR="00EC7A3B" w:rsidRPr="00D068A6" w:rsidRDefault="00EC7A3B" w:rsidP="00EC7A3B">
      <w:pPr>
        <w:spacing w:line="360" w:lineRule="auto"/>
        <w:ind w:firstLine="708"/>
        <w:contextualSpacing/>
        <w:jc w:val="both"/>
        <w:rPr>
          <w:bCs/>
          <w:color w:val="222222"/>
          <w:sz w:val="24"/>
          <w:szCs w:val="24"/>
          <w:shd w:val="clear" w:color="auto" w:fill="FFFFFF"/>
          <w:lang w:val="es-PE"/>
        </w:rPr>
      </w:pPr>
      <w:r w:rsidRPr="00D068A6">
        <w:rPr>
          <w:bCs/>
          <w:color w:val="222222"/>
          <w:sz w:val="24"/>
          <w:szCs w:val="24"/>
          <w:shd w:val="clear" w:color="auto" w:fill="FFFFFF"/>
          <w:lang w:val="es-PE"/>
        </w:rPr>
        <w:tab/>
      </w:r>
      <w:r w:rsidRPr="00D068A6">
        <w:rPr>
          <w:bCs/>
          <w:color w:val="222222"/>
          <w:sz w:val="24"/>
          <w:szCs w:val="24"/>
          <w:shd w:val="clear" w:color="auto" w:fill="FFFFFF"/>
          <w:lang w:val="es-PE"/>
        </w:rPr>
        <w:tab/>
      </w:r>
      <w:r w:rsidRPr="00D068A6">
        <w:rPr>
          <w:bCs/>
          <w:color w:val="222222"/>
          <w:sz w:val="24"/>
          <w:szCs w:val="24"/>
          <w:shd w:val="clear" w:color="auto" w:fill="FFFFFF"/>
          <w:lang w:val="es-PE"/>
        </w:rPr>
        <w:tab/>
      </w:r>
      <w:r w:rsidRPr="00D068A6">
        <w:rPr>
          <w:bCs/>
          <w:color w:val="222222"/>
          <w:sz w:val="24"/>
          <w:szCs w:val="24"/>
          <w:shd w:val="clear" w:color="auto" w:fill="FFFFFF"/>
          <w:lang w:val="es-PE"/>
        </w:rPr>
        <w:tab/>
      </w:r>
    </w:p>
    <w:p w14:paraId="702A12E4" w14:textId="30CF0271" w:rsidR="00EC7A3B" w:rsidRPr="00D068A6" w:rsidRDefault="00EC7A3B" w:rsidP="00EC7A3B">
      <w:pPr>
        <w:spacing w:line="360" w:lineRule="auto"/>
        <w:contextualSpacing/>
        <w:jc w:val="both"/>
        <w:rPr>
          <w:bCs/>
          <w:i/>
          <w:color w:val="222222"/>
          <w:sz w:val="28"/>
          <w:szCs w:val="28"/>
          <w:shd w:val="clear" w:color="auto" w:fill="FFFFFF"/>
          <w:lang w:val="es-PE"/>
        </w:rPr>
      </w:pPr>
      <w:r w:rsidRPr="00D068A6">
        <w:rPr>
          <w:bCs/>
          <w:i/>
          <w:color w:val="222222"/>
          <w:sz w:val="28"/>
          <w:szCs w:val="28"/>
          <w:shd w:val="clear" w:color="auto" w:fill="FFFFFF"/>
          <w:lang w:val="es-PE"/>
        </w:rPr>
        <w:t xml:space="preserve">b) La </w:t>
      </w:r>
      <w:r w:rsidR="00F943FF" w:rsidRPr="00D068A6">
        <w:rPr>
          <w:bCs/>
          <w:i/>
          <w:color w:val="222222"/>
          <w:sz w:val="28"/>
          <w:szCs w:val="28"/>
          <w:shd w:val="clear" w:color="auto" w:fill="FFFFFF"/>
          <w:lang w:val="es-PE"/>
        </w:rPr>
        <w:t>formación de capital nacional y</w:t>
      </w:r>
      <w:r w:rsidRPr="00D068A6">
        <w:rPr>
          <w:bCs/>
          <w:i/>
          <w:color w:val="222222"/>
          <w:sz w:val="28"/>
          <w:szCs w:val="28"/>
          <w:shd w:val="clear" w:color="auto" w:fill="FFFFFF"/>
          <w:lang w:val="es-PE"/>
        </w:rPr>
        <w:t xml:space="preserve"> extranjer</w:t>
      </w:r>
      <w:r w:rsidR="00533BF6" w:rsidRPr="00D068A6">
        <w:rPr>
          <w:bCs/>
          <w:i/>
          <w:color w:val="222222"/>
          <w:sz w:val="28"/>
          <w:szCs w:val="28"/>
          <w:shd w:val="clear" w:color="auto" w:fill="FFFFFF"/>
          <w:lang w:val="es-PE"/>
        </w:rPr>
        <w:t>o</w:t>
      </w:r>
      <w:r w:rsidRPr="00D068A6">
        <w:rPr>
          <w:bCs/>
          <w:i/>
          <w:color w:val="222222"/>
          <w:sz w:val="28"/>
          <w:szCs w:val="28"/>
          <w:shd w:val="clear" w:color="auto" w:fill="FFFFFF"/>
          <w:lang w:val="es-PE"/>
        </w:rPr>
        <w:t xml:space="preserve"> </w:t>
      </w:r>
    </w:p>
    <w:p w14:paraId="1923A958" w14:textId="69F4A7CD" w:rsidR="00EC7A3B" w:rsidRPr="00D068A6" w:rsidRDefault="00EC7A3B" w:rsidP="00EC7A3B">
      <w:pPr>
        <w:pStyle w:val="Textonotapie"/>
        <w:spacing w:line="360" w:lineRule="auto"/>
        <w:contextualSpacing/>
        <w:rPr>
          <w:sz w:val="24"/>
          <w:szCs w:val="24"/>
          <w:lang w:val="es-PE"/>
        </w:rPr>
      </w:pPr>
      <w:r w:rsidRPr="00D068A6">
        <w:rPr>
          <w:sz w:val="24"/>
          <w:szCs w:val="24"/>
          <w:lang w:val="es-PE"/>
        </w:rPr>
        <w:t xml:space="preserve">La inversión extranjera en Chile  alcanzó montos reducidos durante la dictadura. Ya en democracia tomó fuerza en inversiones nuevas y en adquisiciones. </w:t>
      </w:r>
      <w:r w:rsidR="00A03A1A" w:rsidRPr="00D068A6">
        <w:rPr>
          <w:sz w:val="24"/>
          <w:szCs w:val="24"/>
          <w:lang w:val="es-PE"/>
        </w:rPr>
        <w:t>Con las primeras</w:t>
      </w:r>
      <w:r w:rsidRPr="00D068A6">
        <w:rPr>
          <w:sz w:val="24"/>
          <w:szCs w:val="24"/>
          <w:lang w:val="es-PE"/>
        </w:rPr>
        <w:t xml:space="preserve"> contribuyó al fuerte crecimiento de la inversión productiva </w:t>
      </w:r>
      <w:r w:rsidR="00533BF6" w:rsidRPr="00D068A6">
        <w:rPr>
          <w:sz w:val="24"/>
          <w:szCs w:val="24"/>
          <w:lang w:val="es-PE"/>
        </w:rPr>
        <w:t xml:space="preserve">(FBKF) </w:t>
      </w:r>
      <w:r w:rsidRPr="00D068A6">
        <w:rPr>
          <w:sz w:val="24"/>
          <w:szCs w:val="24"/>
          <w:lang w:val="es-PE"/>
        </w:rPr>
        <w:t>registrad</w:t>
      </w:r>
      <w:r w:rsidR="00A03A1A" w:rsidRPr="00D068A6">
        <w:rPr>
          <w:sz w:val="24"/>
          <w:szCs w:val="24"/>
          <w:lang w:val="es-PE"/>
        </w:rPr>
        <w:t>o</w:t>
      </w:r>
      <w:r w:rsidRPr="00D068A6">
        <w:rPr>
          <w:sz w:val="24"/>
          <w:szCs w:val="24"/>
          <w:lang w:val="es-PE"/>
        </w:rPr>
        <w:t xml:space="preserve"> entre 1990 y 1998. Entonces, la tasa de inversión interna se elevó en 8 puntos del PIB con respecto al promedio  exhibido durante la dictadura. A pesar de su expansión, la IED nueva --esto es, descontadas las adquisiciones de empresas existentes--,  sólo  representó el 15% de la formación bruta de capital en 1991-95; el 85% fue cubierto por inversionistas nacionales privados o públicos. Posteriormente,  la IED se expandió más rápidamente, en particular en los años que siguieron al contagio de la crisis asiática (ver </w:t>
      </w:r>
      <w:r w:rsidR="00593645" w:rsidRPr="00D068A6">
        <w:rPr>
          <w:sz w:val="24"/>
          <w:szCs w:val="24"/>
          <w:lang w:val="es-PE"/>
        </w:rPr>
        <w:t xml:space="preserve">Ffrench-Davis, 2016b, </w:t>
      </w:r>
      <w:r w:rsidRPr="00D068A6">
        <w:rPr>
          <w:sz w:val="24"/>
          <w:szCs w:val="24"/>
          <w:lang w:val="es-PE"/>
        </w:rPr>
        <w:t xml:space="preserve">cuadro </w:t>
      </w:r>
      <w:r w:rsidR="00593645" w:rsidRPr="00D068A6">
        <w:rPr>
          <w:sz w:val="24"/>
          <w:szCs w:val="24"/>
          <w:lang w:val="es-PE"/>
        </w:rPr>
        <w:t>7</w:t>
      </w:r>
      <w:r w:rsidRPr="00D068A6">
        <w:rPr>
          <w:sz w:val="24"/>
          <w:szCs w:val="24"/>
          <w:lang w:val="es-PE"/>
        </w:rPr>
        <w:t>). Hasta mediados de la década, la gran mayoría de la IED había correspondido a inversiones nuevas (79% de</w:t>
      </w:r>
      <w:r w:rsidR="00533BF6" w:rsidRPr="00D068A6">
        <w:rPr>
          <w:sz w:val="24"/>
          <w:szCs w:val="24"/>
          <w:lang w:val="es-PE"/>
        </w:rPr>
        <w:t xml:space="preserve"> la</w:t>
      </w:r>
      <w:r w:rsidRPr="00D068A6">
        <w:rPr>
          <w:sz w:val="24"/>
          <w:szCs w:val="24"/>
          <w:lang w:val="es-PE"/>
        </w:rPr>
        <w:t xml:space="preserve"> IED </w:t>
      </w:r>
      <w:r w:rsidR="00533BF6" w:rsidRPr="00D068A6">
        <w:rPr>
          <w:sz w:val="24"/>
          <w:szCs w:val="24"/>
          <w:lang w:val="es-PE"/>
        </w:rPr>
        <w:t xml:space="preserve">correspondió </w:t>
      </w:r>
      <w:r w:rsidRPr="00D068A6">
        <w:rPr>
          <w:sz w:val="24"/>
          <w:szCs w:val="24"/>
          <w:lang w:val="es-PE"/>
        </w:rPr>
        <w:t>a “greenfield” en 1991-95</w:t>
      </w:r>
      <w:r w:rsidR="00593645" w:rsidRPr="00D068A6">
        <w:rPr>
          <w:sz w:val="24"/>
          <w:szCs w:val="24"/>
          <w:lang w:val="es-PE"/>
        </w:rPr>
        <w:t>)</w:t>
      </w:r>
      <w:r w:rsidRPr="00D068A6">
        <w:rPr>
          <w:sz w:val="24"/>
          <w:szCs w:val="24"/>
          <w:lang w:val="es-PE"/>
        </w:rPr>
        <w:t>, creadora de mayor capacidad productiva, y generadora de importaciones de bienes de capital.</w:t>
      </w:r>
    </w:p>
    <w:p w14:paraId="3AAB8F04" w14:textId="70EB5320" w:rsidR="00EC7A3B" w:rsidRPr="00D068A6" w:rsidRDefault="00533BF6" w:rsidP="00EC7A3B">
      <w:pPr>
        <w:pStyle w:val="Textonotapie"/>
        <w:spacing w:line="360" w:lineRule="auto"/>
        <w:contextualSpacing/>
        <w:rPr>
          <w:sz w:val="24"/>
          <w:szCs w:val="24"/>
          <w:lang w:val="es-PE"/>
        </w:rPr>
      </w:pPr>
      <w:r w:rsidRPr="00D068A6">
        <w:rPr>
          <w:sz w:val="24"/>
          <w:szCs w:val="24"/>
          <w:lang w:val="es-PE"/>
        </w:rPr>
        <w:tab/>
      </w:r>
      <w:r w:rsidR="00EC7A3B" w:rsidRPr="00D068A6">
        <w:rPr>
          <w:sz w:val="24"/>
          <w:szCs w:val="24"/>
          <w:lang w:val="es-PE"/>
        </w:rPr>
        <w:t>En los años siguientes,  tal como en otras economías de la región, la IED exhibió gran dinamismo. En 2004-1</w:t>
      </w:r>
      <w:r w:rsidR="002D22BC" w:rsidRPr="00D068A6">
        <w:rPr>
          <w:sz w:val="24"/>
          <w:szCs w:val="24"/>
          <w:lang w:val="es-PE"/>
        </w:rPr>
        <w:t>5</w:t>
      </w:r>
      <w:r w:rsidR="00EC7A3B" w:rsidRPr="00D068A6">
        <w:rPr>
          <w:sz w:val="24"/>
          <w:szCs w:val="24"/>
          <w:lang w:val="es-PE"/>
        </w:rPr>
        <w:t xml:space="preserve"> los flujos de IED promediaron </w:t>
      </w:r>
      <w:r w:rsidR="00BC1EB6">
        <w:rPr>
          <w:sz w:val="24"/>
          <w:szCs w:val="24"/>
          <w:lang w:val="es-PE"/>
        </w:rPr>
        <w:t>cerca de 30%</w:t>
      </w:r>
      <w:r w:rsidR="00EC7A3B" w:rsidRPr="00D068A6">
        <w:rPr>
          <w:sz w:val="24"/>
          <w:szCs w:val="24"/>
          <w:lang w:val="es-PE"/>
        </w:rPr>
        <w:t xml:space="preserve"> de la FBKF. La  IED nueva fue contribuyendo </w:t>
      </w:r>
      <w:r w:rsidR="000126EA" w:rsidRPr="00D068A6">
        <w:rPr>
          <w:sz w:val="24"/>
          <w:szCs w:val="24"/>
          <w:lang w:val="es-PE"/>
        </w:rPr>
        <w:t xml:space="preserve">en una proporción </w:t>
      </w:r>
      <w:r w:rsidR="00EC7A3B" w:rsidRPr="00D068A6">
        <w:rPr>
          <w:sz w:val="24"/>
          <w:szCs w:val="24"/>
          <w:lang w:val="es-PE"/>
        </w:rPr>
        <w:t>creciente a la formación de capital; en consecuencia,  fueron perdiendo participación los inversionistas nacionales.  Solo el equivalente a  15,</w:t>
      </w:r>
      <w:r w:rsidR="00C31E4C" w:rsidRPr="00D068A6">
        <w:rPr>
          <w:sz w:val="24"/>
          <w:szCs w:val="24"/>
          <w:lang w:val="es-PE"/>
        </w:rPr>
        <w:t>7</w:t>
      </w:r>
      <w:r w:rsidR="00EC7A3B" w:rsidRPr="00D068A6">
        <w:rPr>
          <w:sz w:val="24"/>
          <w:szCs w:val="24"/>
          <w:lang w:val="es-PE"/>
        </w:rPr>
        <w:t>% del PIB de 2004-1</w:t>
      </w:r>
      <w:r w:rsidR="007B3517" w:rsidRPr="00D068A6">
        <w:rPr>
          <w:sz w:val="24"/>
          <w:szCs w:val="24"/>
          <w:lang w:val="es-PE"/>
        </w:rPr>
        <w:t>5</w:t>
      </w:r>
      <w:r w:rsidR="00EC7A3B" w:rsidRPr="00D068A6">
        <w:rPr>
          <w:sz w:val="24"/>
          <w:szCs w:val="24"/>
          <w:lang w:val="es-PE"/>
        </w:rPr>
        <w:t xml:space="preserve"> correspondió a formación de capital efectuada  por el sector público y los privados nacionales, en contraste con 20,5% en 1991-95. A su vez, parte del stock de capital existente fue adquirido por inversionistas extranjeros: las </w:t>
      </w:r>
      <w:r w:rsidR="00EC7A3B" w:rsidRPr="00D068A6">
        <w:rPr>
          <w:sz w:val="24"/>
          <w:szCs w:val="24"/>
          <w:lang w:val="es-PE"/>
        </w:rPr>
        <w:lastRenderedPageBreak/>
        <w:t xml:space="preserve">adquisiciones  comprendieron el equivalente a </w:t>
      </w:r>
      <w:r w:rsidR="00DC4F1A" w:rsidRPr="00D068A6">
        <w:rPr>
          <w:sz w:val="24"/>
          <w:szCs w:val="24"/>
          <w:lang w:val="es-PE"/>
        </w:rPr>
        <w:t>1,</w:t>
      </w:r>
      <w:r w:rsidR="00EC7A3B" w:rsidRPr="00D068A6">
        <w:rPr>
          <w:sz w:val="24"/>
          <w:szCs w:val="24"/>
          <w:lang w:val="es-PE"/>
        </w:rPr>
        <w:t xml:space="preserve">6% del PIB. La contrapartida de adquisiciones en Chile fue la de empresas chilenas que </w:t>
      </w:r>
      <w:r w:rsidR="0092787B" w:rsidRPr="00D068A6">
        <w:rPr>
          <w:sz w:val="24"/>
          <w:szCs w:val="24"/>
          <w:lang w:val="es-PE"/>
        </w:rPr>
        <w:t>compraron</w:t>
      </w:r>
      <w:r w:rsidR="00EC7A3B" w:rsidRPr="00D068A6">
        <w:rPr>
          <w:sz w:val="24"/>
          <w:szCs w:val="24"/>
          <w:lang w:val="es-PE"/>
        </w:rPr>
        <w:t xml:space="preserve"> </w:t>
      </w:r>
      <w:r w:rsidR="0092787B" w:rsidRPr="00D068A6">
        <w:rPr>
          <w:sz w:val="24"/>
          <w:szCs w:val="24"/>
          <w:lang w:val="es-PE"/>
        </w:rPr>
        <w:t>firmas en el exterior</w:t>
      </w:r>
      <w:r w:rsidR="00BC1EB6">
        <w:rPr>
          <w:sz w:val="24"/>
          <w:szCs w:val="24"/>
          <w:lang w:val="es-PE"/>
        </w:rPr>
        <w:t xml:space="preserve"> o </w:t>
      </w:r>
      <w:r w:rsidR="00EC7A3B" w:rsidRPr="00D068A6">
        <w:rPr>
          <w:sz w:val="24"/>
          <w:szCs w:val="24"/>
          <w:lang w:val="es-PE"/>
        </w:rPr>
        <w:t>desarrollaron nuevas inversiones productivas, en especial en América Latina</w:t>
      </w:r>
      <w:r w:rsidR="0092787B" w:rsidRPr="00D068A6">
        <w:rPr>
          <w:sz w:val="24"/>
          <w:szCs w:val="24"/>
          <w:lang w:val="es-PE"/>
        </w:rPr>
        <w:t>. L</w:t>
      </w:r>
      <w:r w:rsidR="000126EA" w:rsidRPr="00D068A6">
        <w:rPr>
          <w:sz w:val="24"/>
          <w:szCs w:val="24"/>
          <w:lang w:val="es-PE"/>
        </w:rPr>
        <w:t xml:space="preserve">a posibilidad de estrategias nacionales cede lugar a las estrategias de los grupos empresariales internacionalizados, </w:t>
      </w:r>
      <w:r w:rsidR="000126EA" w:rsidRPr="00440190">
        <w:rPr>
          <w:sz w:val="24"/>
          <w:szCs w:val="24"/>
          <w:lang w:val="es-PE"/>
        </w:rPr>
        <w:t xml:space="preserve">con un desbalance de las </w:t>
      </w:r>
      <w:r w:rsidR="000126EA" w:rsidRPr="00440190">
        <w:rPr>
          <w:i/>
          <w:sz w:val="24"/>
          <w:szCs w:val="24"/>
          <w:lang w:val="es-PE"/>
        </w:rPr>
        <w:t>voces</w:t>
      </w:r>
      <w:r w:rsidR="000126EA" w:rsidRPr="00440190">
        <w:rPr>
          <w:sz w:val="24"/>
          <w:szCs w:val="24"/>
          <w:lang w:val="es-PE"/>
        </w:rPr>
        <w:t xml:space="preserve"> que influyen  en la trayectoria de las economías nacionales</w:t>
      </w:r>
      <w:r w:rsidR="00EC7A3B" w:rsidRPr="00973704">
        <w:rPr>
          <w:sz w:val="24"/>
          <w:szCs w:val="24"/>
          <w:lang w:val="es-PE"/>
        </w:rPr>
        <w:t>.</w:t>
      </w:r>
      <w:r w:rsidR="0092787B" w:rsidRPr="00973704">
        <w:rPr>
          <w:sz w:val="24"/>
          <w:szCs w:val="24"/>
          <w:lang w:val="es-PE"/>
        </w:rPr>
        <w:t xml:space="preserve"> </w:t>
      </w:r>
      <w:r w:rsidR="000036AD" w:rsidRPr="00973704">
        <w:rPr>
          <w:sz w:val="24"/>
          <w:szCs w:val="24"/>
          <w:lang w:val="es-PE"/>
        </w:rPr>
        <w:t>E</w:t>
      </w:r>
      <w:r w:rsidR="0092787B" w:rsidRPr="00973704">
        <w:rPr>
          <w:sz w:val="24"/>
          <w:szCs w:val="24"/>
          <w:lang w:val="es-PE"/>
        </w:rPr>
        <w:t xml:space="preserve">l </w:t>
      </w:r>
      <w:r w:rsidR="00BC1EB6" w:rsidRPr="00973704">
        <w:rPr>
          <w:sz w:val="24"/>
          <w:szCs w:val="24"/>
          <w:lang w:val="es-PE"/>
        </w:rPr>
        <w:t>des</w:t>
      </w:r>
      <w:r w:rsidR="0092787B" w:rsidRPr="00973704">
        <w:rPr>
          <w:sz w:val="24"/>
          <w:szCs w:val="24"/>
          <w:lang w:val="es-PE"/>
        </w:rPr>
        <w:t>balance e</w:t>
      </w:r>
      <w:r w:rsidR="00BC1EB6" w:rsidRPr="00973704">
        <w:rPr>
          <w:sz w:val="24"/>
          <w:szCs w:val="24"/>
          <w:lang w:val="es-PE"/>
        </w:rPr>
        <w:t>s un obstáculo</w:t>
      </w:r>
      <w:r w:rsidR="0092787B" w:rsidRPr="00973704">
        <w:rPr>
          <w:sz w:val="24"/>
          <w:szCs w:val="24"/>
          <w:lang w:val="es-PE"/>
        </w:rPr>
        <w:t xml:space="preserve"> para el </w:t>
      </w:r>
      <w:r w:rsidR="00BC1EB6" w:rsidRPr="00973704">
        <w:rPr>
          <w:sz w:val="24"/>
          <w:szCs w:val="24"/>
          <w:lang w:val="es-PE"/>
        </w:rPr>
        <w:t>crecimiento</w:t>
      </w:r>
      <w:r w:rsidR="0092787B" w:rsidRPr="00973704">
        <w:rPr>
          <w:sz w:val="24"/>
          <w:szCs w:val="24"/>
          <w:lang w:val="es-PE"/>
        </w:rPr>
        <w:t xml:space="preserve"> incluyente</w:t>
      </w:r>
      <w:r w:rsidR="00C31E4C" w:rsidRPr="00973704">
        <w:rPr>
          <w:sz w:val="24"/>
          <w:szCs w:val="24"/>
          <w:lang w:val="es-PE"/>
        </w:rPr>
        <w:t>.</w:t>
      </w:r>
    </w:p>
    <w:p w14:paraId="09811D30" w14:textId="77777777" w:rsidR="000126EA" w:rsidRDefault="000126EA" w:rsidP="00EC7A3B">
      <w:pPr>
        <w:pStyle w:val="Textonotapie"/>
        <w:spacing w:line="360" w:lineRule="auto"/>
        <w:contextualSpacing/>
        <w:rPr>
          <w:sz w:val="24"/>
          <w:szCs w:val="24"/>
          <w:lang w:val="es-PE"/>
        </w:rPr>
      </w:pPr>
    </w:p>
    <w:p w14:paraId="1D412163" w14:textId="77777777" w:rsidR="0013640E" w:rsidRDefault="0013640E" w:rsidP="00EC7A3B">
      <w:pPr>
        <w:pStyle w:val="Textonotapie"/>
        <w:spacing w:line="360" w:lineRule="auto"/>
        <w:contextualSpacing/>
        <w:rPr>
          <w:sz w:val="24"/>
          <w:szCs w:val="24"/>
          <w:lang w:val="es-PE"/>
        </w:rPr>
      </w:pPr>
    </w:p>
    <w:p w14:paraId="66AA962D" w14:textId="77777777" w:rsidR="0013640E" w:rsidRPr="00D068A6" w:rsidRDefault="0013640E" w:rsidP="00EC7A3B">
      <w:pPr>
        <w:pStyle w:val="Textonotapie"/>
        <w:spacing w:line="360" w:lineRule="auto"/>
        <w:contextualSpacing/>
        <w:rPr>
          <w:sz w:val="24"/>
          <w:szCs w:val="24"/>
          <w:lang w:val="es-PE"/>
        </w:rPr>
      </w:pPr>
    </w:p>
    <w:p w14:paraId="56517866" w14:textId="4E68C9E2" w:rsidR="00A3325F" w:rsidRPr="00D068A6" w:rsidRDefault="00A675AA" w:rsidP="002B2131">
      <w:pPr>
        <w:pStyle w:val="Textoindependiente"/>
        <w:numPr>
          <w:ilvl w:val="0"/>
          <w:numId w:val="11"/>
        </w:numPr>
        <w:spacing w:line="360" w:lineRule="auto"/>
        <w:jc w:val="both"/>
        <w:rPr>
          <w:b/>
          <w:sz w:val="28"/>
          <w:szCs w:val="28"/>
          <w:lang w:val="es-PE"/>
        </w:rPr>
      </w:pPr>
      <w:r w:rsidRPr="00D068A6">
        <w:rPr>
          <w:b/>
          <w:sz w:val="28"/>
          <w:szCs w:val="28"/>
          <w:lang w:val="es-PE"/>
        </w:rPr>
        <w:t>C</w:t>
      </w:r>
      <w:r w:rsidR="001F2A06" w:rsidRPr="00D068A6">
        <w:rPr>
          <w:b/>
          <w:sz w:val="28"/>
          <w:szCs w:val="28"/>
          <w:lang w:val="es-PE"/>
        </w:rPr>
        <w:t>onclusiones</w:t>
      </w:r>
    </w:p>
    <w:p w14:paraId="7753D574" w14:textId="3F203AE3" w:rsidR="007B60AF" w:rsidRPr="00D068A6" w:rsidRDefault="007B60AF" w:rsidP="009A11D6">
      <w:pPr>
        <w:pStyle w:val="Textoindependiente"/>
        <w:spacing w:line="360" w:lineRule="auto"/>
        <w:jc w:val="both"/>
        <w:rPr>
          <w:sz w:val="24"/>
          <w:szCs w:val="24"/>
          <w:lang w:val="es-PE"/>
        </w:rPr>
      </w:pPr>
      <w:r w:rsidRPr="00D068A6">
        <w:rPr>
          <w:sz w:val="24"/>
          <w:szCs w:val="24"/>
          <w:lang w:val="es-PE"/>
        </w:rPr>
        <w:t xml:space="preserve">Las </w:t>
      </w:r>
      <w:r w:rsidR="00C54E8D" w:rsidRPr="00D068A6">
        <w:rPr>
          <w:sz w:val="24"/>
          <w:szCs w:val="24"/>
          <w:lang w:val="es-PE"/>
        </w:rPr>
        <w:t xml:space="preserve">actuales </w:t>
      </w:r>
      <w:r w:rsidRPr="00D068A6">
        <w:rPr>
          <w:sz w:val="24"/>
          <w:szCs w:val="24"/>
          <w:lang w:val="es-PE"/>
        </w:rPr>
        <w:t xml:space="preserve">falencias de la economía chilena  vienen </w:t>
      </w:r>
      <w:r w:rsidR="00C54E8D" w:rsidRPr="00D068A6">
        <w:rPr>
          <w:sz w:val="24"/>
          <w:szCs w:val="24"/>
          <w:lang w:val="es-PE"/>
        </w:rPr>
        <w:t xml:space="preserve">desarrollándose </w:t>
      </w:r>
      <w:r w:rsidRPr="00D068A6">
        <w:rPr>
          <w:sz w:val="24"/>
          <w:szCs w:val="24"/>
          <w:lang w:val="es-PE"/>
        </w:rPr>
        <w:t>desde finales de los  90s</w:t>
      </w:r>
      <w:r w:rsidR="00C54E8D" w:rsidRPr="00D068A6">
        <w:rPr>
          <w:sz w:val="24"/>
          <w:szCs w:val="24"/>
          <w:lang w:val="es-PE"/>
        </w:rPr>
        <w:t xml:space="preserve">, </w:t>
      </w:r>
      <w:r w:rsidR="00CE293B" w:rsidRPr="00D068A6">
        <w:rPr>
          <w:sz w:val="24"/>
          <w:szCs w:val="24"/>
          <w:lang w:val="es-PE"/>
        </w:rPr>
        <w:t xml:space="preserve">aunque </w:t>
      </w:r>
      <w:r w:rsidR="00C54E8D" w:rsidRPr="00D068A6">
        <w:rPr>
          <w:sz w:val="24"/>
          <w:szCs w:val="24"/>
          <w:lang w:val="es-PE"/>
        </w:rPr>
        <w:t>sin duda</w:t>
      </w:r>
      <w:r w:rsidR="00CE293B" w:rsidRPr="00D068A6">
        <w:rPr>
          <w:sz w:val="24"/>
          <w:szCs w:val="24"/>
          <w:lang w:val="es-PE"/>
        </w:rPr>
        <w:t xml:space="preserve"> han sido</w:t>
      </w:r>
      <w:r w:rsidR="00C54E8D" w:rsidRPr="00D068A6">
        <w:rPr>
          <w:sz w:val="24"/>
          <w:szCs w:val="24"/>
          <w:lang w:val="es-PE"/>
        </w:rPr>
        <w:t xml:space="preserve"> profundizada</w:t>
      </w:r>
      <w:r w:rsidR="002831EA" w:rsidRPr="00D068A6">
        <w:rPr>
          <w:sz w:val="24"/>
          <w:szCs w:val="24"/>
          <w:lang w:val="es-PE"/>
        </w:rPr>
        <w:t>s</w:t>
      </w:r>
      <w:r w:rsidR="00C54E8D" w:rsidRPr="00D068A6">
        <w:rPr>
          <w:sz w:val="24"/>
          <w:szCs w:val="24"/>
          <w:lang w:val="es-PE"/>
        </w:rPr>
        <w:t xml:space="preserve"> por la evolución de la economía internacional</w:t>
      </w:r>
      <w:r w:rsidR="002831EA" w:rsidRPr="00D068A6">
        <w:rPr>
          <w:sz w:val="24"/>
          <w:szCs w:val="24"/>
          <w:lang w:val="es-PE"/>
        </w:rPr>
        <w:t xml:space="preserve"> y </w:t>
      </w:r>
      <w:r w:rsidR="00EC5017" w:rsidRPr="00D068A6">
        <w:rPr>
          <w:sz w:val="24"/>
          <w:szCs w:val="24"/>
          <w:lang w:val="es-PE"/>
        </w:rPr>
        <w:t xml:space="preserve">por el deterioro de las  confianzas entre los ciudadanos, y las </w:t>
      </w:r>
      <w:r w:rsidR="002831EA" w:rsidRPr="00D068A6">
        <w:rPr>
          <w:sz w:val="24"/>
          <w:szCs w:val="24"/>
          <w:lang w:val="es-PE"/>
        </w:rPr>
        <w:t>incertidumbres</w:t>
      </w:r>
      <w:r w:rsidR="00EC5017" w:rsidRPr="00D068A6">
        <w:rPr>
          <w:sz w:val="24"/>
          <w:szCs w:val="24"/>
          <w:lang w:val="es-PE"/>
        </w:rPr>
        <w:t xml:space="preserve"> que  ambos hechos involucran</w:t>
      </w:r>
      <w:r w:rsidRPr="00D068A6">
        <w:rPr>
          <w:sz w:val="24"/>
          <w:szCs w:val="24"/>
          <w:lang w:val="es-PE"/>
        </w:rPr>
        <w:t>.</w:t>
      </w:r>
      <w:r w:rsidR="009A11D6" w:rsidRPr="00D068A6">
        <w:rPr>
          <w:sz w:val="24"/>
          <w:szCs w:val="24"/>
          <w:lang w:val="es-PE"/>
        </w:rPr>
        <w:t xml:space="preserve"> </w:t>
      </w:r>
      <w:r w:rsidR="00EC5017" w:rsidRPr="00D068A6">
        <w:rPr>
          <w:sz w:val="24"/>
          <w:szCs w:val="24"/>
          <w:lang w:val="es-PE"/>
        </w:rPr>
        <w:t xml:space="preserve">Desde la perspectiva económica, </w:t>
      </w:r>
      <w:r w:rsidR="00C219C6">
        <w:rPr>
          <w:sz w:val="24"/>
          <w:szCs w:val="24"/>
          <w:lang w:val="es-PE"/>
        </w:rPr>
        <w:t>en varias oportunidades he</w:t>
      </w:r>
      <w:r w:rsidR="00A64D0C" w:rsidRPr="00D068A6">
        <w:rPr>
          <w:sz w:val="24"/>
          <w:szCs w:val="24"/>
          <w:lang w:val="es-PE"/>
        </w:rPr>
        <w:t xml:space="preserve"> escrito </w:t>
      </w:r>
      <w:r w:rsidR="00C219C6">
        <w:rPr>
          <w:sz w:val="24"/>
          <w:szCs w:val="24"/>
          <w:lang w:val="es-PE"/>
        </w:rPr>
        <w:t xml:space="preserve">sobre </w:t>
      </w:r>
      <w:r w:rsidR="00EC5017" w:rsidRPr="00D068A6">
        <w:rPr>
          <w:sz w:val="24"/>
          <w:szCs w:val="24"/>
          <w:lang w:val="es-PE"/>
        </w:rPr>
        <w:t>propuestas de acción</w:t>
      </w:r>
      <w:r w:rsidR="00A64D0C" w:rsidRPr="00D068A6">
        <w:rPr>
          <w:sz w:val="24"/>
          <w:szCs w:val="24"/>
          <w:lang w:val="es-PE"/>
        </w:rPr>
        <w:t xml:space="preserve"> (por ejemplo, </w:t>
      </w:r>
      <w:r w:rsidR="00EC5017" w:rsidRPr="00D068A6">
        <w:rPr>
          <w:sz w:val="24"/>
          <w:szCs w:val="24"/>
          <w:lang w:val="es-PE"/>
        </w:rPr>
        <w:t xml:space="preserve">en </w:t>
      </w:r>
      <w:r w:rsidR="00A64D0C" w:rsidRPr="00D068A6">
        <w:rPr>
          <w:sz w:val="24"/>
          <w:szCs w:val="24"/>
          <w:lang w:val="es-PE"/>
        </w:rPr>
        <w:t>Ffrench-Davis, 2014, cap. XI</w:t>
      </w:r>
      <w:r w:rsidR="00EC5017" w:rsidRPr="00D068A6">
        <w:rPr>
          <w:sz w:val="24"/>
          <w:szCs w:val="24"/>
          <w:lang w:val="es-PE"/>
        </w:rPr>
        <w:t>,</w:t>
      </w:r>
      <w:r w:rsidR="00A64D0C" w:rsidRPr="00D068A6">
        <w:rPr>
          <w:sz w:val="24"/>
          <w:szCs w:val="24"/>
          <w:lang w:val="es-PE"/>
        </w:rPr>
        <w:t xml:space="preserve"> y 201</w:t>
      </w:r>
      <w:r w:rsidR="00BC1EB6">
        <w:rPr>
          <w:sz w:val="24"/>
          <w:szCs w:val="24"/>
          <w:lang w:val="es-PE"/>
        </w:rPr>
        <w:t>6b</w:t>
      </w:r>
      <w:r w:rsidR="00A64D0C" w:rsidRPr="00D068A6">
        <w:rPr>
          <w:sz w:val="24"/>
          <w:szCs w:val="24"/>
          <w:lang w:val="es-PE"/>
        </w:rPr>
        <w:t>, sección 4). Aquí  retomamos algunos aspectos macroeconómicos y de desarrollo productivo.</w:t>
      </w:r>
      <w:r w:rsidR="009A11D6" w:rsidRPr="00D068A6">
        <w:rPr>
          <w:sz w:val="24"/>
          <w:szCs w:val="24"/>
          <w:lang w:val="es-PE"/>
        </w:rPr>
        <w:t xml:space="preserve">  </w:t>
      </w:r>
    </w:p>
    <w:p w14:paraId="001C9A19" w14:textId="0ED70D2B" w:rsidR="00EC5017" w:rsidRPr="00D068A6" w:rsidRDefault="00EC5017" w:rsidP="00EC5017">
      <w:pPr>
        <w:spacing w:line="360" w:lineRule="auto"/>
        <w:contextualSpacing/>
        <w:jc w:val="both"/>
        <w:rPr>
          <w:bCs/>
          <w:color w:val="222222"/>
          <w:sz w:val="24"/>
          <w:szCs w:val="24"/>
          <w:shd w:val="clear" w:color="auto" w:fill="FFFFFF"/>
          <w:lang w:val="es-PE"/>
        </w:rPr>
      </w:pPr>
      <w:r w:rsidRPr="00D068A6">
        <w:rPr>
          <w:i/>
          <w:sz w:val="24"/>
          <w:szCs w:val="24"/>
          <w:lang w:val="es-PE"/>
        </w:rPr>
        <w:tab/>
      </w:r>
      <w:r w:rsidRPr="00D068A6">
        <w:rPr>
          <w:bCs/>
          <w:color w:val="222222"/>
          <w:sz w:val="24"/>
          <w:szCs w:val="24"/>
          <w:shd w:val="clear" w:color="auto" w:fill="FFFFFF"/>
          <w:lang w:val="es-PE"/>
        </w:rPr>
        <w:t>La producción para el exterior está muy distante de representar la mayoría del PIB. En la generación de éste, el valor agregado en Chile de las exportaciones representa cerca de 30%. A pesar de su crecimiento</w:t>
      </w:r>
      <w:r w:rsidR="00BC1EB6">
        <w:rPr>
          <w:bCs/>
          <w:color w:val="222222"/>
          <w:sz w:val="24"/>
          <w:szCs w:val="24"/>
          <w:shd w:val="clear" w:color="auto" w:fill="FFFFFF"/>
          <w:lang w:val="es-PE"/>
        </w:rPr>
        <w:t xml:space="preserve"> en decenios recientes</w:t>
      </w:r>
      <w:r w:rsidRPr="00D068A6">
        <w:rPr>
          <w:bCs/>
          <w:color w:val="222222"/>
          <w:sz w:val="24"/>
          <w:szCs w:val="24"/>
          <w:shd w:val="clear" w:color="auto" w:fill="FFFFFF"/>
          <w:lang w:val="es-PE"/>
        </w:rPr>
        <w:t>, ese 30% implica  que para elevar los ingresos, empleo, salarios y utilidades del conjunto de la  nación, al lado de exportaciones dinámicas es imprescindible contar  con dinamismo de la producción para los mercados internos. Eso se logró en 1990-98 cuando la economía se expandió 7,1% anual</w:t>
      </w:r>
      <w:r w:rsidR="008B15C2" w:rsidRPr="00D068A6">
        <w:rPr>
          <w:bCs/>
          <w:color w:val="222222"/>
          <w:sz w:val="24"/>
          <w:szCs w:val="24"/>
          <w:shd w:val="clear" w:color="auto" w:fill="FFFFFF"/>
          <w:lang w:val="es-PE"/>
        </w:rPr>
        <w:t>,</w:t>
      </w:r>
      <w:r w:rsidRPr="00D068A6">
        <w:rPr>
          <w:bCs/>
          <w:color w:val="222222"/>
          <w:sz w:val="24"/>
          <w:szCs w:val="24"/>
          <w:shd w:val="clear" w:color="auto" w:fill="FFFFFF"/>
          <w:lang w:val="es-PE"/>
        </w:rPr>
        <w:t xml:space="preserve"> y 5,1 puntos de ello los aportó el PIB no exportado (cuadro 1).</w:t>
      </w:r>
      <w:r w:rsidR="00C668CE" w:rsidRPr="00D068A6">
        <w:rPr>
          <w:bCs/>
          <w:color w:val="222222"/>
          <w:sz w:val="24"/>
          <w:szCs w:val="24"/>
          <w:shd w:val="clear" w:color="auto" w:fill="FFFFFF"/>
          <w:lang w:val="es-PE"/>
        </w:rPr>
        <w:t xml:space="preserve"> Es</w:t>
      </w:r>
      <w:r w:rsidR="00ED6006" w:rsidRPr="00D068A6">
        <w:rPr>
          <w:bCs/>
          <w:color w:val="222222"/>
          <w:sz w:val="24"/>
          <w:szCs w:val="24"/>
          <w:shd w:val="clear" w:color="auto" w:fill="FFFFFF"/>
          <w:lang w:val="es-PE"/>
        </w:rPr>
        <w:t>t</w:t>
      </w:r>
      <w:r w:rsidR="00C668CE" w:rsidRPr="00D068A6">
        <w:rPr>
          <w:bCs/>
          <w:color w:val="222222"/>
          <w:sz w:val="24"/>
          <w:szCs w:val="24"/>
          <w:shd w:val="clear" w:color="auto" w:fill="FFFFFF"/>
          <w:lang w:val="es-PE"/>
        </w:rPr>
        <w:t xml:space="preserve">e aporte se redujo </w:t>
      </w:r>
      <w:r w:rsidR="0004108B" w:rsidRPr="00D068A6">
        <w:rPr>
          <w:bCs/>
          <w:color w:val="222222"/>
          <w:sz w:val="24"/>
          <w:szCs w:val="24"/>
          <w:shd w:val="clear" w:color="auto" w:fill="FFFFFF"/>
          <w:lang w:val="es-PE"/>
        </w:rPr>
        <w:t xml:space="preserve">a 2,5 puntos en 1999-2013, permaneciendo aún como el aporte mayoritario al aumento del PIB de esos años. </w:t>
      </w:r>
      <w:r w:rsidR="00440190">
        <w:rPr>
          <w:bCs/>
          <w:color w:val="222222"/>
          <w:sz w:val="24"/>
          <w:szCs w:val="24"/>
          <w:shd w:val="clear" w:color="auto" w:fill="FFFFFF"/>
          <w:lang w:val="es-PE"/>
        </w:rPr>
        <w:t>Con</w:t>
      </w:r>
      <w:r w:rsidR="0004108B" w:rsidRPr="00D068A6">
        <w:rPr>
          <w:bCs/>
          <w:color w:val="222222"/>
          <w:sz w:val="24"/>
          <w:szCs w:val="24"/>
          <w:shd w:val="clear" w:color="auto" w:fill="FFFFFF"/>
          <w:lang w:val="es-PE"/>
        </w:rPr>
        <w:t xml:space="preserve"> su debilitamiento </w:t>
      </w:r>
      <w:r w:rsidR="00ED6006" w:rsidRPr="00D068A6">
        <w:rPr>
          <w:bCs/>
          <w:color w:val="222222"/>
          <w:sz w:val="24"/>
          <w:szCs w:val="24"/>
          <w:shd w:val="clear" w:color="auto" w:fill="FFFFFF"/>
          <w:lang w:val="es-PE"/>
        </w:rPr>
        <w:t>(de 5,1 a 2,5 puntos)</w:t>
      </w:r>
      <w:r w:rsidR="00440190">
        <w:rPr>
          <w:bCs/>
          <w:color w:val="222222"/>
          <w:sz w:val="24"/>
          <w:szCs w:val="24"/>
          <w:shd w:val="clear" w:color="auto" w:fill="FFFFFF"/>
          <w:lang w:val="es-PE"/>
        </w:rPr>
        <w:t>,</w:t>
      </w:r>
      <w:r w:rsidR="00ED6006" w:rsidRPr="00D068A6">
        <w:rPr>
          <w:bCs/>
          <w:color w:val="222222"/>
          <w:sz w:val="24"/>
          <w:szCs w:val="24"/>
          <w:shd w:val="clear" w:color="auto" w:fill="FFFFFF"/>
          <w:lang w:val="es-PE"/>
        </w:rPr>
        <w:t xml:space="preserve"> </w:t>
      </w:r>
      <w:r w:rsidR="0004108B" w:rsidRPr="00D068A6">
        <w:rPr>
          <w:bCs/>
          <w:color w:val="222222"/>
          <w:sz w:val="24"/>
          <w:szCs w:val="24"/>
          <w:shd w:val="clear" w:color="auto" w:fill="FFFFFF"/>
          <w:lang w:val="es-PE"/>
        </w:rPr>
        <w:t>represent</w:t>
      </w:r>
      <w:r w:rsidR="00ED6006" w:rsidRPr="00D068A6">
        <w:rPr>
          <w:bCs/>
          <w:color w:val="222222"/>
          <w:sz w:val="24"/>
          <w:szCs w:val="24"/>
          <w:shd w:val="clear" w:color="auto" w:fill="FFFFFF"/>
          <w:lang w:val="es-PE"/>
        </w:rPr>
        <w:t>ó 4/5 de la menor expansión del PIB</w:t>
      </w:r>
      <w:r w:rsidR="0004108B" w:rsidRPr="00D068A6">
        <w:rPr>
          <w:bCs/>
          <w:color w:val="222222"/>
          <w:sz w:val="24"/>
          <w:szCs w:val="24"/>
          <w:shd w:val="clear" w:color="auto" w:fill="FFFFFF"/>
          <w:lang w:val="es-PE"/>
        </w:rPr>
        <w:t xml:space="preserve"> </w:t>
      </w:r>
      <w:r w:rsidR="00ED6006" w:rsidRPr="00D068A6">
        <w:rPr>
          <w:bCs/>
          <w:color w:val="222222"/>
          <w:sz w:val="24"/>
          <w:szCs w:val="24"/>
          <w:shd w:val="clear" w:color="auto" w:fill="FFFFFF"/>
          <w:lang w:val="es-PE"/>
        </w:rPr>
        <w:t>(</w:t>
      </w:r>
      <w:r w:rsidR="0004108B" w:rsidRPr="00D068A6">
        <w:rPr>
          <w:bCs/>
          <w:color w:val="222222"/>
          <w:sz w:val="24"/>
          <w:szCs w:val="24"/>
          <w:shd w:val="clear" w:color="auto" w:fill="FFFFFF"/>
          <w:lang w:val="es-PE"/>
        </w:rPr>
        <w:t xml:space="preserve">de </w:t>
      </w:r>
      <w:r w:rsidR="00ED6006" w:rsidRPr="00D068A6">
        <w:rPr>
          <w:bCs/>
          <w:color w:val="222222"/>
          <w:sz w:val="24"/>
          <w:szCs w:val="24"/>
          <w:shd w:val="clear" w:color="auto" w:fill="FFFFFF"/>
          <w:lang w:val="es-PE"/>
        </w:rPr>
        <w:t xml:space="preserve">7,1% a </w:t>
      </w:r>
      <w:r w:rsidR="0004108B" w:rsidRPr="00D068A6">
        <w:rPr>
          <w:bCs/>
          <w:color w:val="222222"/>
          <w:sz w:val="24"/>
          <w:szCs w:val="24"/>
          <w:shd w:val="clear" w:color="auto" w:fill="FFFFFF"/>
          <w:lang w:val="es-PE"/>
        </w:rPr>
        <w:t>3,9%</w:t>
      </w:r>
      <w:r w:rsidR="00ED6006" w:rsidRPr="00D068A6">
        <w:rPr>
          <w:bCs/>
          <w:color w:val="222222"/>
          <w:sz w:val="24"/>
          <w:szCs w:val="24"/>
          <w:shd w:val="clear" w:color="auto" w:fill="FFFFFF"/>
          <w:lang w:val="es-PE"/>
        </w:rPr>
        <w:t>)</w:t>
      </w:r>
      <w:r w:rsidR="0004108B" w:rsidRPr="00D068A6">
        <w:rPr>
          <w:bCs/>
          <w:color w:val="222222"/>
          <w:sz w:val="24"/>
          <w:szCs w:val="24"/>
          <w:shd w:val="clear" w:color="auto" w:fill="FFFFFF"/>
          <w:lang w:val="es-PE"/>
        </w:rPr>
        <w:t>.</w:t>
      </w:r>
    </w:p>
    <w:p w14:paraId="64505679" w14:textId="05C7A72B" w:rsidR="00EC5017" w:rsidRPr="00D068A6" w:rsidRDefault="00EC5017" w:rsidP="00EC5017">
      <w:pPr>
        <w:spacing w:line="360" w:lineRule="auto"/>
        <w:ind w:firstLine="708"/>
        <w:contextualSpacing/>
        <w:jc w:val="both"/>
        <w:rPr>
          <w:sz w:val="24"/>
          <w:szCs w:val="24"/>
          <w:lang w:val="es-PE"/>
        </w:rPr>
      </w:pPr>
      <w:r w:rsidRPr="00D068A6">
        <w:rPr>
          <w:bCs/>
          <w:color w:val="222222"/>
          <w:sz w:val="24"/>
          <w:szCs w:val="24"/>
          <w:shd w:val="clear" w:color="auto" w:fill="FFFFFF"/>
          <w:lang w:val="es-PE"/>
        </w:rPr>
        <w:t xml:space="preserve"> </w:t>
      </w:r>
      <w:r w:rsidRPr="00D068A6">
        <w:rPr>
          <w:sz w:val="24"/>
          <w:szCs w:val="24"/>
          <w:lang w:val="es-PE"/>
        </w:rPr>
        <w:t xml:space="preserve">Ante el escenario externo e interno vigente, </w:t>
      </w:r>
      <w:r w:rsidRPr="00D068A6">
        <w:rPr>
          <w:bCs/>
          <w:color w:val="222222"/>
          <w:sz w:val="24"/>
          <w:szCs w:val="24"/>
          <w:shd w:val="clear" w:color="auto" w:fill="FFFFFF"/>
          <w:lang w:val="es-PE"/>
        </w:rPr>
        <w:t>parece evidente que Chile necesita iniciar un nuevo ciclo de desarrollo</w:t>
      </w:r>
      <w:r w:rsidR="00563D2B" w:rsidRPr="00D068A6">
        <w:rPr>
          <w:bCs/>
          <w:color w:val="222222"/>
          <w:sz w:val="24"/>
          <w:szCs w:val="24"/>
          <w:shd w:val="clear" w:color="auto" w:fill="FFFFFF"/>
          <w:lang w:val="es-PE"/>
        </w:rPr>
        <w:t>.</w:t>
      </w:r>
      <w:r w:rsidRPr="00D068A6">
        <w:rPr>
          <w:bCs/>
          <w:color w:val="222222"/>
          <w:sz w:val="24"/>
          <w:szCs w:val="24"/>
          <w:shd w:val="clear" w:color="auto" w:fill="FFFFFF"/>
          <w:lang w:val="es-PE"/>
        </w:rPr>
        <w:t xml:space="preserve"> En </w:t>
      </w:r>
      <w:r w:rsidR="009E6ADC" w:rsidRPr="00D068A6">
        <w:rPr>
          <w:bCs/>
          <w:color w:val="222222"/>
          <w:sz w:val="24"/>
          <w:szCs w:val="24"/>
          <w:shd w:val="clear" w:color="auto" w:fill="FFFFFF"/>
          <w:lang w:val="es-PE"/>
        </w:rPr>
        <w:t>particular,</w:t>
      </w:r>
      <w:r w:rsidRPr="00D068A6">
        <w:rPr>
          <w:bCs/>
          <w:color w:val="222222"/>
          <w:sz w:val="24"/>
          <w:szCs w:val="24"/>
          <w:shd w:val="clear" w:color="auto" w:fill="FFFFFF"/>
          <w:lang w:val="es-PE"/>
        </w:rPr>
        <w:t xml:space="preserve"> </w:t>
      </w:r>
      <w:r w:rsidRPr="00D068A6">
        <w:rPr>
          <w:sz w:val="24"/>
          <w:szCs w:val="24"/>
          <w:lang w:val="es-PE"/>
        </w:rPr>
        <w:t>se precisa  introducir reformas en  la forma interna de enfrentar la globalización</w:t>
      </w:r>
      <w:r w:rsidR="00C668CE" w:rsidRPr="00D068A6">
        <w:rPr>
          <w:sz w:val="24"/>
          <w:szCs w:val="24"/>
          <w:lang w:val="es-PE"/>
        </w:rPr>
        <w:t xml:space="preserve"> </w:t>
      </w:r>
      <w:r w:rsidR="00ED6006" w:rsidRPr="00D068A6">
        <w:rPr>
          <w:sz w:val="24"/>
          <w:szCs w:val="24"/>
          <w:lang w:val="es-PE"/>
        </w:rPr>
        <w:t>de la volatilidad financiera, la que ha provocado desequilibrios macroeconómicos muy costosos para</w:t>
      </w:r>
      <w:r w:rsidR="00C668CE" w:rsidRPr="00D068A6">
        <w:rPr>
          <w:sz w:val="24"/>
          <w:szCs w:val="24"/>
          <w:lang w:val="es-PE"/>
        </w:rPr>
        <w:t xml:space="preserve"> </w:t>
      </w:r>
      <w:r w:rsidR="00ED6006" w:rsidRPr="00D068A6">
        <w:rPr>
          <w:sz w:val="24"/>
          <w:szCs w:val="24"/>
          <w:lang w:val="es-PE"/>
        </w:rPr>
        <w:t>la economía nacional y la inclusión social</w:t>
      </w:r>
      <w:r w:rsidRPr="00D068A6">
        <w:rPr>
          <w:sz w:val="24"/>
          <w:szCs w:val="24"/>
          <w:lang w:val="es-PE"/>
        </w:rPr>
        <w:t>.</w:t>
      </w:r>
      <w:r w:rsidR="00ED6006" w:rsidRPr="00D068A6">
        <w:rPr>
          <w:sz w:val="24"/>
          <w:szCs w:val="24"/>
          <w:lang w:val="es-PE"/>
        </w:rPr>
        <w:t xml:space="preserve"> Por otra </w:t>
      </w:r>
      <w:r w:rsidR="00ED6006" w:rsidRPr="00D068A6">
        <w:rPr>
          <w:sz w:val="24"/>
          <w:szCs w:val="24"/>
          <w:lang w:val="es-PE"/>
        </w:rPr>
        <w:lastRenderedPageBreak/>
        <w:t xml:space="preserve">parte, cada día se resiente con mayor intensidad la ausencia de políticas </w:t>
      </w:r>
      <w:r w:rsidR="009865CC">
        <w:rPr>
          <w:sz w:val="24"/>
          <w:szCs w:val="24"/>
          <w:lang w:val="es-PE"/>
        </w:rPr>
        <w:t>de</w:t>
      </w:r>
      <w:r w:rsidR="00ED6006" w:rsidRPr="00D068A6">
        <w:rPr>
          <w:sz w:val="24"/>
          <w:szCs w:val="24"/>
          <w:lang w:val="es-PE"/>
        </w:rPr>
        <w:t xml:space="preserve"> desarrollo productivo.</w:t>
      </w:r>
    </w:p>
    <w:p w14:paraId="791242EE" w14:textId="6C27A79F" w:rsidR="00EC5017" w:rsidRPr="00D068A6" w:rsidRDefault="00EC5017" w:rsidP="00EC5017">
      <w:pPr>
        <w:spacing w:line="360" w:lineRule="auto"/>
        <w:contextualSpacing/>
        <w:jc w:val="both"/>
        <w:rPr>
          <w:b/>
          <w:sz w:val="24"/>
          <w:szCs w:val="24"/>
          <w:lang w:val="es-PE"/>
        </w:rPr>
      </w:pPr>
      <w:r w:rsidRPr="00D068A6">
        <w:rPr>
          <w:sz w:val="24"/>
          <w:szCs w:val="24"/>
          <w:lang w:val="es-PE"/>
        </w:rPr>
        <w:tab/>
        <w:t>L</w:t>
      </w:r>
      <w:r w:rsidR="00563D2B" w:rsidRPr="00D068A6">
        <w:rPr>
          <w:sz w:val="24"/>
          <w:szCs w:val="24"/>
          <w:lang w:val="es-PE"/>
        </w:rPr>
        <w:t>o he reiterado muchas veces. L</w:t>
      </w:r>
      <w:r w:rsidRPr="00D068A6">
        <w:rPr>
          <w:sz w:val="24"/>
          <w:szCs w:val="24"/>
          <w:lang w:val="es-PE"/>
        </w:rPr>
        <w:t xml:space="preserve">a brecha de desarrollo económico respecto a las economías más avanzados (que más que duplican </w:t>
      </w:r>
      <w:r w:rsidR="00ED6006" w:rsidRPr="00D068A6">
        <w:rPr>
          <w:sz w:val="24"/>
          <w:szCs w:val="24"/>
          <w:lang w:val="es-PE"/>
        </w:rPr>
        <w:t>el</w:t>
      </w:r>
      <w:r w:rsidRPr="00D068A6">
        <w:rPr>
          <w:sz w:val="24"/>
          <w:szCs w:val="24"/>
          <w:lang w:val="es-PE"/>
        </w:rPr>
        <w:t xml:space="preserve"> ingreso por habitante</w:t>
      </w:r>
      <w:r w:rsidR="00ED6006" w:rsidRPr="00D068A6">
        <w:rPr>
          <w:sz w:val="24"/>
          <w:szCs w:val="24"/>
          <w:lang w:val="es-PE"/>
        </w:rPr>
        <w:t xml:space="preserve"> de Chile</w:t>
      </w:r>
      <w:r w:rsidRPr="00D068A6">
        <w:rPr>
          <w:sz w:val="24"/>
          <w:szCs w:val="24"/>
          <w:lang w:val="es-PE"/>
        </w:rPr>
        <w:t xml:space="preserve">) no se ubica en las grandes empresas, las más modernas y los grandes exportadores. La </w:t>
      </w:r>
      <w:r w:rsidR="00ED6006" w:rsidRPr="00D068A6">
        <w:rPr>
          <w:sz w:val="24"/>
          <w:szCs w:val="24"/>
          <w:lang w:val="es-PE"/>
        </w:rPr>
        <w:t xml:space="preserve">mayor </w:t>
      </w:r>
      <w:r w:rsidRPr="00D068A6">
        <w:rPr>
          <w:sz w:val="24"/>
          <w:szCs w:val="24"/>
          <w:lang w:val="es-PE"/>
        </w:rPr>
        <w:t>brecha de productividad se ubica (i) en los cientos de miles de PYMEs, (ii) en los trabajadores formales pero de menor calificación y (iii) en los informales, proporcionalmente más numerosos en Chile que en los países desarrollados. Allí están las brechas de productividad entre el 4</w:t>
      </w:r>
      <w:r w:rsidR="00C668CE" w:rsidRPr="00D068A6">
        <w:rPr>
          <w:sz w:val="24"/>
          <w:szCs w:val="24"/>
          <w:lang w:val="es-PE"/>
        </w:rPr>
        <w:t>0</w:t>
      </w:r>
      <w:r w:rsidRPr="00D068A6">
        <w:rPr>
          <w:sz w:val="24"/>
          <w:szCs w:val="24"/>
          <w:lang w:val="es-PE"/>
        </w:rPr>
        <w:t xml:space="preserve">% promedio de Chile en PPP (y 27% a precios de mercado) y el 100% de </w:t>
      </w:r>
      <w:r w:rsidR="009D2C3E" w:rsidRPr="00D068A6">
        <w:rPr>
          <w:sz w:val="24"/>
          <w:szCs w:val="24"/>
          <w:lang w:val="es-PE"/>
        </w:rPr>
        <w:t xml:space="preserve">los </w:t>
      </w:r>
      <w:r w:rsidRPr="00D068A6">
        <w:rPr>
          <w:sz w:val="24"/>
          <w:szCs w:val="24"/>
          <w:lang w:val="es-PE"/>
        </w:rPr>
        <w:t xml:space="preserve">EEUU y otras economías avanzadas. Por consiguiente, para crecer y  combatir la  desigualdad, es imprescindible  elevar la productividad y la empleabilidad en estos tres sectores, reduciendo la distancia que los separa de los sectores de altos ingresos, y así elevando la  productividad e ingresos promedios. Es el desafío en las estructuras productivas, </w:t>
      </w:r>
      <w:r w:rsidRPr="00D068A6">
        <w:rPr>
          <w:b/>
          <w:sz w:val="24"/>
          <w:szCs w:val="24"/>
          <w:lang w:val="es-PE"/>
        </w:rPr>
        <w:t xml:space="preserve">para  crecer incluyendo.  </w:t>
      </w:r>
    </w:p>
    <w:p w14:paraId="4C9E9261" w14:textId="6B20F313" w:rsidR="00EC5017" w:rsidRDefault="00EC5017" w:rsidP="00EC5017">
      <w:pPr>
        <w:spacing w:line="360" w:lineRule="auto"/>
        <w:contextualSpacing/>
        <w:jc w:val="both"/>
        <w:rPr>
          <w:sz w:val="24"/>
          <w:szCs w:val="24"/>
          <w:lang w:val="es-PE"/>
        </w:rPr>
      </w:pPr>
      <w:r w:rsidRPr="00D068A6">
        <w:rPr>
          <w:sz w:val="24"/>
          <w:szCs w:val="24"/>
          <w:lang w:val="es-PE"/>
        </w:rPr>
        <w:tab/>
        <w:t xml:space="preserve">Para un  desarrollo </w:t>
      </w:r>
      <w:r w:rsidR="00C219C6" w:rsidRPr="00D068A6">
        <w:rPr>
          <w:sz w:val="24"/>
          <w:szCs w:val="24"/>
          <w:lang w:val="es-PE"/>
        </w:rPr>
        <w:t>inclu</w:t>
      </w:r>
      <w:r w:rsidR="00C219C6">
        <w:rPr>
          <w:sz w:val="24"/>
          <w:szCs w:val="24"/>
          <w:lang w:val="es-PE"/>
        </w:rPr>
        <w:t>sivo</w:t>
      </w:r>
      <w:r w:rsidR="00C219C6" w:rsidRPr="00D068A6">
        <w:rPr>
          <w:sz w:val="24"/>
          <w:szCs w:val="24"/>
          <w:lang w:val="es-PE"/>
        </w:rPr>
        <w:t xml:space="preserve"> </w:t>
      </w:r>
      <w:r w:rsidR="009D2C3E" w:rsidRPr="00D068A6">
        <w:rPr>
          <w:sz w:val="24"/>
          <w:szCs w:val="24"/>
          <w:lang w:val="es-PE"/>
        </w:rPr>
        <w:t xml:space="preserve">resulta imprescindible recuperar </w:t>
      </w:r>
      <w:r w:rsidR="00C219C6">
        <w:rPr>
          <w:sz w:val="24"/>
          <w:szCs w:val="24"/>
          <w:lang w:val="es-PE"/>
        </w:rPr>
        <w:t xml:space="preserve">los </w:t>
      </w:r>
      <w:r w:rsidR="009D2C3E" w:rsidRPr="00D068A6">
        <w:rPr>
          <w:sz w:val="24"/>
          <w:szCs w:val="24"/>
          <w:lang w:val="es-PE"/>
        </w:rPr>
        <w:t>equilibrios de la macroeconomía real y poner en marcha las tan postergadas políticas de desarrollo productivo</w:t>
      </w:r>
      <w:r w:rsidR="00F64BAE" w:rsidRPr="00D068A6">
        <w:rPr>
          <w:sz w:val="24"/>
          <w:szCs w:val="24"/>
          <w:lang w:val="es-PE"/>
        </w:rPr>
        <w:t xml:space="preserve"> que impulsen la formación de capital e innovación, en  especial de las PYMEs</w:t>
      </w:r>
      <w:r w:rsidRPr="00D068A6">
        <w:rPr>
          <w:sz w:val="24"/>
          <w:szCs w:val="24"/>
          <w:lang w:val="es-PE"/>
        </w:rPr>
        <w:t xml:space="preserve">. </w:t>
      </w:r>
    </w:p>
    <w:p w14:paraId="0139B0D2" w14:textId="77777777" w:rsidR="0013640E" w:rsidRPr="00D068A6" w:rsidRDefault="0013640E" w:rsidP="00EC5017">
      <w:pPr>
        <w:spacing w:line="360" w:lineRule="auto"/>
        <w:contextualSpacing/>
        <w:jc w:val="both"/>
        <w:rPr>
          <w:sz w:val="24"/>
          <w:szCs w:val="24"/>
          <w:lang w:val="es-PE"/>
        </w:rPr>
      </w:pPr>
    </w:p>
    <w:p w14:paraId="458FCAAE" w14:textId="1F53159F" w:rsidR="00563D2B" w:rsidRPr="00D068A6" w:rsidRDefault="0013640E" w:rsidP="00DD5062">
      <w:pPr>
        <w:spacing w:line="360" w:lineRule="auto"/>
        <w:ind w:firstLine="720"/>
        <w:contextualSpacing/>
        <w:jc w:val="both"/>
        <w:rPr>
          <w:b/>
          <w:sz w:val="24"/>
          <w:szCs w:val="24"/>
          <w:lang w:val="es-PE"/>
        </w:rPr>
      </w:pPr>
      <w:r>
        <w:rPr>
          <w:b/>
          <w:sz w:val="24"/>
          <w:szCs w:val="24"/>
          <w:lang w:val="es-PE"/>
        </w:rPr>
        <w:t>a)</w:t>
      </w:r>
      <w:r w:rsidR="00DD5062" w:rsidRPr="00D068A6">
        <w:rPr>
          <w:b/>
          <w:sz w:val="24"/>
          <w:szCs w:val="24"/>
          <w:lang w:val="es-PE"/>
        </w:rPr>
        <w:t xml:space="preserve"> Recuperar </w:t>
      </w:r>
      <w:r w:rsidR="001B3750" w:rsidRPr="00D068A6">
        <w:rPr>
          <w:b/>
          <w:sz w:val="24"/>
          <w:szCs w:val="24"/>
          <w:lang w:val="es-PE"/>
        </w:rPr>
        <w:t xml:space="preserve">los </w:t>
      </w:r>
      <w:r w:rsidR="00DD5062" w:rsidRPr="00D068A6">
        <w:rPr>
          <w:b/>
          <w:sz w:val="24"/>
          <w:szCs w:val="24"/>
          <w:lang w:val="es-PE"/>
        </w:rPr>
        <w:t>equilibrios de la macroeconomía real</w:t>
      </w:r>
    </w:p>
    <w:p w14:paraId="64E12D79" w14:textId="5170C28B" w:rsidR="00DD5062" w:rsidRDefault="00C725FC" w:rsidP="00DD5062">
      <w:pPr>
        <w:spacing w:line="360" w:lineRule="auto"/>
        <w:ind w:firstLine="720"/>
        <w:contextualSpacing/>
        <w:jc w:val="both"/>
        <w:rPr>
          <w:sz w:val="24"/>
          <w:lang w:val="es-PE"/>
        </w:rPr>
      </w:pPr>
      <w:r>
        <w:rPr>
          <w:sz w:val="24"/>
          <w:lang w:val="es-PE"/>
        </w:rPr>
        <w:t xml:space="preserve">Es necesario aplicar un set comprensivo de políticas contra-cíclicas para </w:t>
      </w:r>
      <w:r w:rsidR="005B1F61">
        <w:rPr>
          <w:sz w:val="24"/>
          <w:lang w:val="es-PE"/>
        </w:rPr>
        <w:t>contra</w:t>
      </w:r>
      <w:r w:rsidR="00440190">
        <w:rPr>
          <w:sz w:val="24"/>
          <w:lang w:val="es-PE"/>
        </w:rPr>
        <w:t>r</w:t>
      </w:r>
      <w:r w:rsidR="005B1F61">
        <w:rPr>
          <w:sz w:val="24"/>
          <w:lang w:val="es-PE"/>
        </w:rPr>
        <w:t>restar</w:t>
      </w:r>
      <w:r>
        <w:rPr>
          <w:sz w:val="24"/>
          <w:lang w:val="es-PE"/>
        </w:rPr>
        <w:t xml:space="preserve"> la gran volatilidad de los mercados fina</w:t>
      </w:r>
      <w:r w:rsidR="00440190">
        <w:rPr>
          <w:sz w:val="24"/>
          <w:lang w:val="es-PE"/>
        </w:rPr>
        <w:t>n</w:t>
      </w:r>
      <w:r>
        <w:rPr>
          <w:sz w:val="24"/>
          <w:lang w:val="es-PE"/>
        </w:rPr>
        <w:t>cieros y de las exportaciones. Para esto es</w:t>
      </w:r>
      <w:r w:rsidRPr="00D068A6">
        <w:rPr>
          <w:sz w:val="24"/>
          <w:lang w:val="es-PE"/>
        </w:rPr>
        <w:t xml:space="preserve"> </w:t>
      </w:r>
      <w:r w:rsidR="00DD5062" w:rsidRPr="00D068A6">
        <w:rPr>
          <w:sz w:val="24"/>
          <w:lang w:val="es-PE"/>
        </w:rPr>
        <w:t xml:space="preserve">imprescindible  transitar de  metas de inflación como objetivo dominante a un balance de objetivos de  ella con los de la economía real, como lo hizo Chile en 1990-95: empleo menos precario y menor informalidad, inversión productiva incluyente, diversificación exportadora, tipo de cambio y balance externo sostenibles;  todos estos objetivos son afectados por la forma de hacer  macroeconomía. Entre otros, (i) comprende operar con una demanda efectiva cercana a la capacidad productiva; evitar auges insostenibles de consumo </w:t>
      </w:r>
      <w:r w:rsidR="005B1F61">
        <w:rPr>
          <w:sz w:val="24"/>
          <w:lang w:val="es-PE"/>
        </w:rPr>
        <w:t xml:space="preserve">de </w:t>
      </w:r>
      <w:r w:rsidR="00DD5062" w:rsidRPr="00D068A6">
        <w:rPr>
          <w:sz w:val="24"/>
          <w:lang w:val="es-PE"/>
        </w:rPr>
        <w:t>importa</w:t>
      </w:r>
      <w:r w:rsidR="005B1F61">
        <w:rPr>
          <w:sz w:val="24"/>
          <w:lang w:val="es-PE"/>
        </w:rPr>
        <w:t>ciones</w:t>
      </w:r>
      <w:r w:rsidR="00DD5062" w:rsidRPr="00D068A6">
        <w:rPr>
          <w:sz w:val="24"/>
          <w:lang w:val="es-PE"/>
        </w:rPr>
        <w:t xml:space="preserve">, booms de crédito y bursátiles por una parte; por otra, actuar con fuerza y coherencia </w:t>
      </w:r>
      <w:r w:rsidR="006063B4" w:rsidRPr="00D068A6">
        <w:rPr>
          <w:sz w:val="24"/>
          <w:lang w:val="es-PE"/>
        </w:rPr>
        <w:t>para revertir</w:t>
      </w:r>
      <w:r w:rsidR="00DD5062" w:rsidRPr="00D068A6">
        <w:rPr>
          <w:sz w:val="24"/>
          <w:lang w:val="es-PE"/>
        </w:rPr>
        <w:t xml:space="preserve"> las situaciones recesivas. (ii)</w:t>
      </w:r>
      <w:r w:rsidR="008B15C2" w:rsidRPr="00D068A6">
        <w:rPr>
          <w:sz w:val="24"/>
          <w:lang w:val="es-PE"/>
        </w:rPr>
        <w:t xml:space="preserve"> </w:t>
      </w:r>
      <w:r w:rsidR="00DD5062" w:rsidRPr="00D068A6">
        <w:rPr>
          <w:sz w:val="24"/>
          <w:lang w:val="es-PE"/>
        </w:rPr>
        <w:t>Mantener un tipo de cambio real competitivo y estable,</w:t>
      </w:r>
      <w:r w:rsidR="003C7703" w:rsidRPr="00D068A6">
        <w:rPr>
          <w:sz w:val="24"/>
          <w:lang w:val="es-PE"/>
        </w:rPr>
        <w:t xml:space="preserve"> con una flexibilidad administrada por la autoridad económica</w:t>
      </w:r>
      <w:r w:rsidR="00DD5062" w:rsidRPr="00D068A6">
        <w:rPr>
          <w:sz w:val="24"/>
          <w:lang w:val="es-PE"/>
        </w:rPr>
        <w:t xml:space="preserve"> lo </w:t>
      </w:r>
      <w:r w:rsidR="005B1F61">
        <w:rPr>
          <w:sz w:val="24"/>
          <w:lang w:val="es-PE"/>
        </w:rPr>
        <w:t xml:space="preserve">cual </w:t>
      </w:r>
      <w:r w:rsidR="00DD5062" w:rsidRPr="00D068A6">
        <w:rPr>
          <w:sz w:val="24"/>
          <w:lang w:val="es-PE"/>
        </w:rPr>
        <w:t xml:space="preserve">resulta </w:t>
      </w:r>
      <w:r w:rsidR="005B1F61">
        <w:rPr>
          <w:sz w:val="24"/>
          <w:lang w:val="es-PE"/>
        </w:rPr>
        <w:t>in</w:t>
      </w:r>
      <w:r w:rsidR="00DD5062" w:rsidRPr="00D068A6">
        <w:rPr>
          <w:sz w:val="24"/>
          <w:lang w:val="es-PE"/>
        </w:rPr>
        <w:t xml:space="preserve">viable con los extremos de </w:t>
      </w:r>
      <w:r w:rsidR="005B1F61">
        <w:rPr>
          <w:sz w:val="24"/>
          <w:lang w:val="es-PE"/>
        </w:rPr>
        <w:t>flotación libre</w:t>
      </w:r>
      <w:r w:rsidR="00DD5062" w:rsidRPr="00D068A6">
        <w:rPr>
          <w:sz w:val="24"/>
          <w:lang w:val="es-PE"/>
        </w:rPr>
        <w:t xml:space="preserve"> y cuenta de capitales financieros abierta.</w:t>
      </w:r>
      <w:r w:rsidR="00DD5062" w:rsidRPr="00D068A6">
        <w:rPr>
          <w:sz w:val="24"/>
          <w:szCs w:val="24"/>
          <w:lang w:val="es-PE"/>
        </w:rPr>
        <w:t xml:space="preserve"> </w:t>
      </w:r>
      <w:r w:rsidR="00DD5062" w:rsidRPr="00D068A6">
        <w:rPr>
          <w:sz w:val="24"/>
          <w:lang w:val="es-PE"/>
        </w:rPr>
        <w:t xml:space="preserve"> (iii)</w:t>
      </w:r>
      <w:r w:rsidR="00ED6006" w:rsidRPr="00D068A6">
        <w:rPr>
          <w:sz w:val="24"/>
          <w:lang w:val="es-PE"/>
        </w:rPr>
        <w:t xml:space="preserve"> Por consiguiente, </w:t>
      </w:r>
      <w:r w:rsidR="00ED6006" w:rsidRPr="00D068A6">
        <w:rPr>
          <w:sz w:val="24"/>
          <w:lang w:val="es-PE"/>
        </w:rPr>
        <w:lastRenderedPageBreak/>
        <w:t>r</w:t>
      </w:r>
      <w:r w:rsidR="00DD5062" w:rsidRPr="00D068A6">
        <w:rPr>
          <w:sz w:val="24"/>
          <w:lang w:val="es-PE"/>
        </w:rPr>
        <w:t xml:space="preserve">ecuperar la capacidad de desalentar excesos pro-cíclicos en los flujos especulativos de capitales; ellos han sido causantes de efectos depresivos del crecimiento y regresivos para la equidad. Chile tiene los instrumentos a mano, pues puede decidir, sin consultas o autorización de nadie, retomar  una política cambiaria y regular contra-cíclicamente los flujos de capitales financieros. </w:t>
      </w:r>
      <w:r w:rsidR="005B544E" w:rsidRPr="00D068A6">
        <w:rPr>
          <w:sz w:val="24"/>
          <w:lang w:val="es-PE"/>
        </w:rPr>
        <w:t xml:space="preserve">(iv) La política fiscal debe avanzar desde su </w:t>
      </w:r>
      <w:r w:rsidR="002A49EF" w:rsidRPr="00D068A6">
        <w:rPr>
          <w:sz w:val="24"/>
          <w:lang w:val="es-PE"/>
        </w:rPr>
        <w:t xml:space="preserve">actual </w:t>
      </w:r>
      <w:r w:rsidR="005B544E" w:rsidRPr="00D068A6">
        <w:rPr>
          <w:sz w:val="24"/>
          <w:lang w:val="es-PE"/>
        </w:rPr>
        <w:t>relativa neutralidad, hacia un enfoque plenamente</w:t>
      </w:r>
      <w:r w:rsidR="002A49EF" w:rsidRPr="00D068A6">
        <w:rPr>
          <w:sz w:val="24"/>
          <w:lang w:val="es-PE"/>
        </w:rPr>
        <w:t xml:space="preserve"> contra-cíclico --con impuestos y gastos contra-cíclicos--, </w:t>
      </w:r>
      <w:r w:rsidR="005B1F61">
        <w:rPr>
          <w:sz w:val="24"/>
          <w:lang w:val="es-PE"/>
        </w:rPr>
        <w:t>recuperando</w:t>
      </w:r>
      <w:r w:rsidR="005B1F61" w:rsidRPr="00D068A6">
        <w:rPr>
          <w:sz w:val="24"/>
          <w:lang w:val="es-PE"/>
        </w:rPr>
        <w:t xml:space="preserve"> </w:t>
      </w:r>
      <w:r w:rsidR="002A49EF" w:rsidRPr="00D068A6">
        <w:rPr>
          <w:sz w:val="24"/>
          <w:lang w:val="es-PE"/>
        </w:rPr>
        <w:t xml:space="preserve">la capacidad de acción, que </w:t>
      </w:r>
      <w:r w:rsidR="00563D2B" w:rsidRPr="00D068A6">
        <w:rPr>
          <w:sz w:val="24"/>
          <w:lang w:val="es-PE"/>
        </w:rPr>
        <w:t>se ha</w:t>
      </w:r>
      <w:r w:rsidR="002A49EF" w:rsidRPr="00D068A6">
        <w:rPr>
          <w:sz w:val="24"/>
          <w:lang w:val="es-PE"/>
        </w:rPr>
        <w:t xml:space="preserve"> debilitado.</w:t>
      </w:r>
      <w:r w:rsidR="00563D2B" w:rsidRPr="00D068A6">
        <w:rPr>
          <w:sz w:val="24"/>
          <w:lang w:val="es-PE"/>
        </w:rPr>
        <w:t xml:space="preserve"> (v) Ap</w:t>
      </w:r>
      <w:r w:rsidR="00DD5062" w:rsidRPr="00D068A6">
        <w:rPr>
          <w:sz w:val="24"/>
          <w:lang w:val="es-PE"/>
        </w:rPr>
        <w:t>licar activamente un conjunto integral de políticas contra-cíclicas</w:t>
      </w:r>
      <w:r w:rsidR="00F64BAE" w:rsidRPr="00D068A6">
        <w:rPr>
          <w:sz w:val="24"/>
          <w:lang w:val="es-PE"/>
        </w:rPr>
        <w:t xml:space="preserve"> exige una </w:t>
      </w:r>
      <w:r w:rsidR="003C7703" w:rsidRPr="00D068A6">
        <w:rPr>
          <w:sz w:val="24"/>
          <w:lang w:val="es-PE"/>
        </w:rPr>
        <w:t xml:space="preserve">coordinación plena </w:t>
      </w:r>
      <w:r w:rsidR="00F64BAE" w:rsidRPr="00D068A6">
        <w:rPr>
          <w:sz w:val="24"/>
          <w:lang w:val="es-PE"/>
        </w:rPr>
        <w:t xml:space="preserve">entre el Banco Central y el Ministerio de Hacienda. </w:t>
      </w:r>
    </w:p>
    <w:p w14:paraId="26DB4124" w14:textId="77777777" w:rsidR="0013640E" w:rsidRDefault="0013640E" w:rsidP="00DD5062">
      <w:pPr>
        <w:spacing w:line="360" w:lineRule="auto"/>
        <w:ind w:firstLine="720"/>
        <w:contextualSpacing/>
        <w:jc w:val="both"/>
        <w:rPr>
          <w:sz w:val="24"/>
          <w:lang w:val="es-PE"/>
        </w:rPr>
      </w:pPr>
    </w:p>
    <w:p w14:paraId="724ACE31" w14:textId="728403C8" w:rsidR="00563D2B" w:rsidRPr="00D068A6" w:rsidRDefault="0013640E" w:rsidP="0013640E">
      <w:pPr>
        <w:spacing w:line="360" w:lineRule="auto"/>
        <w:ind w:firstLine="708"/>
        <w:contextualSpacing/>
        <w:jc w:val="both"/>
        <w:rPr>
          <w:b/>
          <w:sz w:val="24"/>
          <w:lang w:val="es-PE"/>
        </w:rPr>
      </w:pPr>
      <w:r>
        <w:rPr>
          <w:sz w:val="24"/>
          <w:szCs w:val="24"/>
          <w:lang w:val="es-PE"/>
        </w:rPr>
        <w:t>b)</w:t>
      </w:r>
      <w:r w:rsidR="00EC5017" w:rsidRPr="00D068A6">
        <w:rPr>
          <w:b/>
          <w:sz w:val="24"/>
          <w:szCs w:val="24"/>
          <w:lang w:val="es-PE"/>
        </w:rPr>
        <w:t xml:space="preserve"> </w:t>
      </w:r>
      <w:r w:rsidR="00EC5017" w:rsidRPr="00D068A6">
        <w:rPr>
          <w:b/>
          <w:sz w:val="24"/>
          <w:lang w:val="es-PE"/>
        </w:rPr>
        <w:t>Políticas de desarrollo productivo</w:t>
      </w:r>
    </w:p>
    <w:p w14:paraId="2FB14AE7" w14:textId="65DDB20C" w:rsidR="00EC5017" w:rsidRPr="00D068A6" w:rsidRDefault="00356BD4" w:rsidP="0013640E">
      <w:pPr>
        <w:spacing w:line="360" w:lineRule="auto"/>
        <w:ind w:firstLine="708"/>
        <w:contextualSpacing/>
        <w:jc w:val="both"/>
        <w:rPr>
          <w:sz w:val="24"/>
          <w:lang w:val="es-PE"/>
        </w:rPr>
      </w:pPr>
      <w:r w:rsidRPr="00D068A6">
        <w:rPr>
          <w:sz w:val="24"/>
          <w:lang w:val="es-PE"/>
        </w:rPr>
        <w:t>Aparte de la corrección del sesgo contra-PYM</w:t>
      </w:r>
      <w:r w:rsidR="001B3750" w:rsidRPr="00D068A6">
        <w:rPr>
          <w:sz w:val="24"/>
          <w:lang w:val="es-PE"/>
        </w:rPr>
        <w:t>Es</w:t>
      </w:r>
      <w:r w:rsidRPr="00D068A6">
        <w:rPr>
          <w:sz w:val="24"/>
          <w:lang w:val="es-PE"/>
        </w:rPr>
        <w:t xml:space="preserve"> </w:t>
      </w:r>
      <w:r w:rsidR="00FD6E56" w:rsidRPr="00D068A6">
        <w:rPr>
          <w:sz w:val="24"/>
          <w:lang w:val="es-PE"/>
        </w:rPr>
        <w:t>y la</w:t>
      </w:r>
      <w:r w:rsidRPr="00D068A6">
        <w:rPr>
          <w:sz w:val="24"/>
          <w:lang w:val="es-PE"/>
        </w:rPr>
        <w:t xml:space="preserve"> inversión productiva </w:t>
      </w:r>
      <w:r w:rsidR="007F7843">
        <w:rPr>
          <w:sz w:val="24"/>
          <w:lang w:val="es-PE"/>
        </w:rPr>
        <w:t>de una política</w:t>
      </w:r>
      <w:r w:rsidRPr="00D068A6">
        <w:rPr>
          <w:sz w:val="24"/>
          <w:lang w:val="es-PE"/>
        </w:rPr>
        <w:t xml:space="preserve">  macroeconomía  pro-cíclica</w:t>
      </w:r>
      <w:r w:rsidR="00FD6E56" w:rsidRPr="00D068A6">
        <w:rPr>
          <w:sz w:val="24"/>
          <w:lang w:val="es-PE"/>
        </w:rPr>
        <w:t xml:space="preserve"> (metas de inflación dominantes, cuenta de capitales abierta y tipo de cambio libre)</w:t>
      </w:r>
      <w:r w:rsidRPr="00D068A6">
        <w:rPr>
          <w:sz w:val="24"/>
          <w:lang w:val="es-PE"/>
        </w:rPr>
        <w:t xml:space="preserve">, </w:t>
      </w:r>
      <w:r w:rsidR="00563D2B" w:rsidRPr="00D068A6">
        <w:rPr>
          <w:sz w:val="24"/>
          <w:lang w:val="es-PE"/>
        </w:rPr>
        <w:t xml:space="preserve">se requieren </w:t>
      </w:r>
      <w:r w:rsidRPr="00D068A6">
        <w:rPr>
          <w:sz w:val="24"/>
          <w:lang w:val="es-PE"/>
        </w:rPr>
        <w:t>reformas del mercado de capitales para</w:t>
      </w:r>
      <w:r w:rsidR="00EC5017" w:rsidRPr="00D068A6">
        <w:rPr>
          <w:sz w:val="24"/>
          <w:lang w:val="es-PE"/>
        </w:rPr>
        <w:t xml:space="preserve"> un mayor acceso al financiamiento interno de largo plazo,</w:t>
      </w:r>
      <w:r w:rsidR="009865CC">
        <w:rPr>
          <w:sz w:val="24"/>
          <w:lang w:val="es-PE"/>
        </w:rPr>
        <w:t xml:space="preserve"> la </w:t>
      </w:r>
      <w:r w:rsidR="00EC5017" w:rsidRPr="00D068A6">
        <w:rPr>
          <w:sz w:val="24"/>
          <w:lang w:val="es-PE"/>
        </w:rPr>
        <w:t xml:space="preserve">transmisión de tecnología, </w:t>
      </w:r>
      <w:r w:rsidR="009865CC">
        <w:rPr>
          <w:sz w:val="24"/>
          <w:lang w:val="es-PE"/>
        </w:rPr>
        <w:t xml:space="preserve">la </w:t>
      </w:r>
      <w:r w:rsidR="00EC5017" w:rsidRPr="00D068A6">
        <w:rPr>
          <w:sz w:val="24"/>
          <w:lang w:val="es-PE"/>
        </w:rPr>
        <w:t xml:space="preserve">capacitación empresarial y laboral. En mercados  comerciales internacionales que probablemente se expandan más lentamente que en los decenios anteriores, una compensación del vacío que dejan reside en </w:t>
      </w:r>
      <w:r w:rsidR="009865CC">
        <w:rPr>
          <w:sz w:val="24"/>
          <w:lang w:val="es-PE"/>
        </w:rPr>
        <w:t>(i)</w:t>
      </w:r>
      <w:r w:rsidR="00EC5017" w:rsidRPr="00D068A6">
        <w:rPr>
          <w:sz w:val="24"/>
          <w:lang w:val="es-PE"/>
        </w:rPr>
        <w:t xml:space="preserve"> aumentar  el valor agregado en la composición de las actuales exportaciones y </w:t>
      </w:r>
      <w:r w:rsidR="009865CC" w:rsidRPr="000D7EE1">
        <w:rPr>
          <w:sz w:val="24"/>
          <w:lang w:val="es-PE"/>
        </w:rPr>
        <w:t xml:space="preserve">(ii) </w:t>
      </w:r>
      <w:r w:rsidR="00EC5017" w:rsidRPr="000D7EE1">
        <w:rPr>
          <w:sz w:val="24"/>
          <w:lang w:val="es-PE"/>
        </w:rPr>
        <w:t xml:space="preserve">que en algunos rubros los  actuales proveedores de los exportadores de Chile --y muchos nuevos impulsados por una política coherente y persistente de clústeres--,  se puedan también transformar en  exportadores de bienes y servicios  intermedios </w:t>
      </w:r>
      <w:r w:rsidR="00440190">
        <w:rPr>
          <w:sz w:val="24"/>
          <w:lang w:val="es-PE"/>
        </w:rPr>
        <w:t xml:space="preserve">en la producción </w:t>
      </w:r>
      <w:r w:rsidR="00EC5017" w:rsidRPr="000D7EE1">
        <w:rPr>
          <w:sz w:val="24"/>
          <w:lang w:val="es-PE"/>
        </w:rPr>
        <w:t>de  recursos naturales.</w:t>
      </w:r>
      <w:r w:rsidR="00EC5017" w:rsidRPr="00D068A6">
        <w:rPr>
          <w:sz w:val="24"/>
          <w:lang w:val="es-PE"/>
        </w:rPr>
        <w:t xml:space="preserve"> Aquí hay un </w:t>
      </w:r>
      <w:r w:rsidR="000D7EE1">
        <w:rPr>
          <w:sz w:val="24"/>
          <w:lang w:val="es-PE"/>
        </w:rPr>
        <w:t>espacio</w:t>
      </w:r>
      <w:r w:rsidR="000D7EE1" w:rsidRPr="00D068A6">
        <w:rPr>
          <w:sz w:val="24"/>
          <w:lang w:val="es-PE"/>
        </w:rPr>
        <w:t xml:space="preserve"> </w:t>
      </w:r>
      <w:r w:rsidR="00EC5017" w:rsidRPr="00D068A6">
        <w:rPr>
          <w:sz w:val="24"/>
          <w:lang w:val="es-PE"/>
        </w:rPr>
        <w:t>para la reactivación de la cooperación o integración comercial de América Latina.</w:t>
      </w:r>
    </w:p>
    <w:p w14:paraId="3F933B7C" w14:textId="66935657" w:rsidR="00EC5017" w:rsidRPr="00D068A6" w:rsidRDefault="00EC5017" w:rsidP="00EC5017">
      <w:pPr>
        <w:spacing w:line="360" w:lineRule="auto"/>
        <w:ind w:firstLine="720"/>
        <w:contextualSpacing/>
        <w:jc w:val="both"/>
        <w:rPr>
          <w:sz w:val="24"/>
          <w:szCs w:val="24"/>
          <w:lang w:val="es-PE"/>
        </w:rPr>
      </w:pPr>
      <w:r w:rsidRPr="00D068A6">
        <w:rPr>
          <w:sz w:val="24"/>
          <w:lang w:val="es-PE"/>
        </w:rPr>
        <w:t xml:space="preserve">Lo </w:t>
      </w:r>
      <w:r w:rsidR="00356BD4" w:rsidRPr="00D068A6">
        <w:rPr>
          <w:sz w:val="24"/>
          <w:lang w:val="es-PE"/>
        </w:rPr>
        <w:t xml:space="preserve">recién </w:t>
      </w:r>
      <w:r w:rsidRPr="00D068A6">
        <w:rPr>
          <w:sz w:val="24"/>
          <w:lang w:val="es-PE"/>
        </w:rPr>
        <w:t>expuesto cubre la dimensión hacia el exterior</w:t>
      </w:r>
      <w:r w:rsidR="007C199D" w:rsidRPr="00D068A6">
        <w:rPr>
          <w:sz w:val="24"/>
          <w:lang w:val="es-PE"/>
        </w:rPr>
        <w:t>.</w:t>
      </w:r>
      <w:r w:rsidRPr="00D068A6">
        <w:rPr>
          <w:sz w:val="24"/>
          <w:lang w:val="es-PE"/>
        </w:rPr>
        <w:t xml:space="preserve"> Como se mostró,  sobre el 70% de la producción de Chile se  destina a los mercados internos,  y es allí donde la abrumadora mayoría de las  PYMEs opera, con sus actuales brechas de productividad respecto a las grandes empresas locales y de las PYMEs del mundo desarrollado. C</w:t>
      </w:r>
      <w:r w:rsidR="00345266" w:rsidRPr="00D068A6">
        <w:rPr>
          <w:sz w:val="24"/>
          <w:lang w:val="es-PE"/>
        </w:rPr>
        <w:t>omo se</w:t>
      </w:r>
      <w:r w:rsidRPr="00D068A6">
        <w:rPr>
          <w:sz w:val="24"/>
          <w:lang w:val="es-PE"/>
        </w:rPr>
        <w:t xml:space="preserve"> reiter</w:t>
      </w:r>
      <w:r w:rsidR="00345266" w:rsidRPr="00D068A6">
        <w:rPr>
          <w:sz w:val="24"/>
          <w:lang w:val="es-PE"/>
        </w:rPr>
        <w:t>ó</w:t>
      </w:r>
      <w:r w:rsidRPr="00D068A6">
        <w:rPr>
          <w:sz w:val="24"/>
          <w:lang w:val="es-PE"/>
        </w:rPr>
        <w:t xml:space="preserve">, la posibilidad de crecer sostenidamente descansa en acortar esas brechas –promoviendo la investigación y desarrollo, la capacitación laboral y la reforma del mercado de capitales—con las </w:t>
      </w:r>
      <w:r w:rsidR="001B3750" w:rsidRPr="00D068A6">
        <w:rPr>
          <w:sz w:val="24"/>
          <w:lang w:val="es-PE"/>
        </w:rPr>
        <w:t>pequeñas empresas</w:t>
      </w:r>
      <w:r w:rsidRPr="00D068A6">
        <w:rPr>
          <w:sz w:val="24"/>
          <w:lang w:val="es-PE"/>
        </w:rPr>
        <w:t xml:space="preserve">  agregando un aporte al PIB </w:t>
      </w:r>
      <w:r w:rsidR="00345266" w:rsidRPr="00D068A6">
        <w:rPr>
          <w:sz w:val="24"/>
          <w:lang w:val="es-PE"/>
        </w:rPr>
        <w:t xml:space="preserve">proporcionalmente </w:t>
      </w:r>
      <w:r w:rsidRPr="00D068A6">
        <w:rPr>
          <w:sz w:val="24"/>
          <w:lang w:val="es-PE"/>
        </w:rPr>
        <w:t>más creciente que el de las grandes.</w:t>
      </w:r>
      <w:r w:rsidRPr="00D068A6">
        <w:rPr>
          <w:sz w:val="24"/>
          <w:szCs w:val="24"/>
          <w:lang w:val="es-PE"/>
        </w:rPr>
        <w:t xml:space="preserve"> </w:t>
      </w:r>
    </w:p>
    <w:p w14:paraId="0E5DED66" w14:textId="23417663" w:rsidR="00EC5017" w:rsidRPr="00D068A6" w:rsidRDefault="00EC5017" w:rsidP="00EC5017">
      <w:pPr>
        <w:spacing w:line="360" w:lineRule="auto"/>
        <w:ind w:firstLine="720"/>
        <w:contextualSpacing/>
        <w:jc w:val="both"/>
        <w:rPr>
          <w:sz w:val="24"/>
          <w:szCs w:val="24"/>
          <w:lang w:val="es-PE"/>
        </w:rPr>
      </w:pPr>
      <w:r w:rsidRPr="00D068A6">
        <w:rPr>
          <w:sz w:val="24"/>
          <w:szCs w:val="24"/>
          <w:lang w:val="es-PE"/>
        </w:rPr>
        <w:lastRenderedPageBreak/>
        <w:t xml:space="preserve">  La integración indiscriminada de Chile a los mercados de  capitales financieros es una gran traba para ello. Un mercado regulado </w:t>
      </w:r>
      <w:r w:rsidR="00402ABD" w:rsidRPr="00D068A6">
        <w:rPr>
          <w:sz w:val="24"/>
          <w:szCs w:val="24"/>
          <w:lang w:val="es-PE"/>
        </w:rPr>
        <w:t xml:space="preserve">en Chile </w:t>
      </w:r>
      <w:r w:rsidRPr="00D068A6">
        <w:rPr>
          <w:sz w:val="24"/>
          <w:szCs w:val="24"/>
          <w:lang w:val="es-PE"/>
        </w:rPr>
        <w:t>de esos fondos es una condición indispensable</w:t>
      </w:r>
      <w:r w:rsidR="003C7703" w:rsidRPr="00D068A6">
        <w:rPr>
          <w:sz w:val="24"/>
          <w:szCs w:val="24"/>
          <w:lang w:val="es-PE"/>
        </w:rPr>
        <w:t xml:space="preserve"> por muy difícil que sea ir</w:t>
      </w:r>
      <w:r w:rsidRPr="00D068A6">
        <w:rPr>
          <w:sz w:val="24"/>
          <w:szCs w:val="24"/>
          <w:lang w:val="es-PE"/>
        </w:rPr>
        <w:t xml:space="preserve"> contra la fuerte ideología </w:t>
      </w:r>
      <w:r w:rsidRPr="00D068A6">
        <w:rPr>
          <w:i/>
          <w:sz w:val="24"/>
          <w:szCs w:val="24"/>
          <w:lang w:val="es-PE"/>
        </w:rPr>
        <w:t>financierista</w:t>
      </w:r>
      <w:r w:rsidRPr="00D068A6">
        <w:rPr>
          <w:sz w:val="24"/>
          <w:szCs w:val="24"/>
          <w:lang w:val="es-PE"/>
        </w:rPr>
        <w:t xml:space="preserve"> y el </w:t>
      </w:r>
      <w:r w:rsidRPr="009865CC">
        <w:rPr>
          <w:i/>
          <w:sz w:val="24"/>
          <w:szCs w:val="24"/>
          <w:lang w:val="es-PE"/>
        </w:rPr>
        <w:t>lobby</w:t>
      </w:r>
      <w:r w:rsidRPr="00D068A6">
        <w:rPr>
          <w:sz w:val="24"/>
          <w:szCs w:val="24"/>
          <w:lang w:val="es-PE"/>
        </w:rPr>
        <w:t xml:space="preserve"> tan poderoso </w:t>
      </w:r>
      <w:r w:rsidR="00402ABD" w:rsidRPr="00D068A6">
        <w:rPr>
          <w:sz w:val="24"/>
          <w:szCs w:val="24"/>
          <w:lang w:val="es-PE"/>
        </w:rPr>
        <w:t>que ha logrado</w:t>
      </w:r>
      <w:r w:rsidRPr="00D068A6">
        <w:rPr>
          <w:sz w:val="24"/>
          <w:szCs w:val="24"/>
          <w:lang w:val="es-PE"/>
        </w:rPr>
        <w:t xml:space="preserve"> mantener las condiciones que llevaron a las crisis asiática y global. </w:t>
      </w:r>
    </w:p>
    <w:p w14:paraId="08269C90" w14:textId="4771EC6B" w:rsidR="00AE66C5" w:rsidRPr="00D068A6" w:rsidRDefault="00A64D0C" w:rsidP="00A64D0C">
      <w:pPr>
        <w:pStyle w:val="Textoindependiente"/>
        <w:spacing w:line="360" w:lineRule="auto"/>
        <w:ind w:firstLine="708"/>
        <w:jc w:val="both"/>
        <w:rPr>
          <w:sz w:val="24"/>
          <w:lang w:val="es-PE"/>
        </w:rPr>
      </w:pPr>
      <w:r w:rsidRPr="00D068A6">
        <w:rPr>
          <w:sz w:val="24"/>
          <w:szCs w:val="24"/>
          <w:lang w:val="es-PE"/>
        </w:rPr>
        <w:t>L</w:t>
      </w:r>
      <w:r w:rsidR="00C379B6" w:rsidRPr="00D068A6">
        <w:rPr>
          <w:sz w:val="24"/>
          <w:szCs w:val="24"/>
          <w:lang w:val="es-PE"/>
        </w:rPr>
        <w:t>os agentes económicos especializados en la colocación de fondos financieros, que pueden ser muy eficientes en su campo, pero que operan con horizontes de planeación cortos –"por formación y por las recompensas a que están afectos"–, han sido determinantes en la evolución</w:t>
      </w:r>
      <w:r w:rsidR="00402ABD" w:rsidRPr="00D068A6">
        <w:rPr>
          <w:sz w:val="24"/>
          <w:szCs w:val="24"/>
          <w:lang w:val="es-PE"/>
        </w:rPr>
        <w:t xml:space="preserve"> de la coyuntura macroeconómica</w:t>
      </w:r>
      <w:r w:rsidR="00C379B6" w:rsidRPr="00D068A6">
        <w:rPr>
          <w:sz w:val="24"/>
          <w:szCs w:val="24"/>
          <w:lang w:val="es-PE"/>
        </w:rPr>
        <w:t xml:space="preserve"> </w:t>
      </w:r>
      <w:r w:rsidR="00402ABD" w:rsidRPr="00D068A6">
        <w:rPr>
          <w:sz w:val="24"/>
          <w:szCs w:val="24"/>
          <w:lang w:val="es-PE"/>
        </w:rPr>
        <w:t>regresiva y depresiva del crecimiento</w:t>
      </w:r>
      <w:r w:rsidR="00C379B6" w:rsidRPr="00D068A6">
        <w:rPr>
          <w:sz w:val="24"/>
          <w:szCs w:val="24"/>
          <w:lang w:val="es-PE"/>
        </w:rPr>
        <w:t xml:space="preserve"> </w:t>
      </w:r>
      <w:r w:rsidR="00402ABD" w:rsidRPr="00D068A6">
        <w:rPr>
          <w:sz w:val="24"/>
          <w:szCs w:val="24"/>
          <w:lang w:val="es-PE"/>
        </w:rPr>
        <w:t>y han</w:t>
      </w:r>
      <w:r w:rsidR="00C379B6" w:rsidRPr="00D068A6">
        <w:rPr>
          <w:sz w:val="24"/>
          <w:szCs w:val="24"/>
          <w:lang w:val="es-PE"/>
        </w:rPr>
        <w:t xml:space="preserve"> influido decisivamente en el diseño de las políticas en los países de América Latina. Chile se incorporó fuertemente a estas tendencias desde 1999. Esto implica el predominio de una actitud </w:t>
      </w:r>
      <w:r w:rsidR="00C379B6" w:rsidRPr="00D068A6">
        <w:rPr>
          <w:i/>
          <w:sz w:val="24"/>
          <w:szCs w:val="24"/>
          <w:lang w:val="es-PE"/>
        </w:rPr>
        <w:t>financierista</w:t>
      </w:r>
      <w:r w:rsidR="001B3750" w:rsidRPr="00D068A6">
        <w:rPr>
          <w:sz w:val="24"/>
          <w:szCs w:val="24"/>
          <w:lang w:val="es-PE"/>
        </w:rPr>
        <w:t xml:space="preserve"> sobre un enfoque </w:t>
      </w:r>
      <w:r w:rsidR="001B3750" w:rsidRPr="00D068A6">
        <w:rPr>
          <w:i/>
          <w:sz w:val="24"/>
          <w:szCs w:val="24"/>
          <w:lang w:val="es-PE"/>
        </w:rPr>
        <w:t>productivista</w:t>
      </w:r>
      <w:r w:rsidR="00C379B6" w:rsidRPr="00D068A6">
        <w:rPr>
          <w:sz w:val="24"/>
          <w:szCs w:val="24"/>
          <w:lang w:val="es-PE"/>
        </w:rPr>
        <w:t xml:space="preserve">, lo que entra en conflicto con el doble objetivo de crecer con equidad, que requiere mejorar los incentivos para aumentar </w:t>
      </w:r>
      <w:r w:rsidR="00345266" w:rsidRPr="00D068A6">
        <w:rPr>
          <w:sz w:val="24"/>
          <w:szCs w:val="24"/>
          <w:lang w:val="es-PE"/>
        </w:rPr>
        <w:t xml:space="preserve">el stock de capital y </w:t>
      </w:r>
      <w:r w:rsidR="00C379B6" w:rsidRPr="00D068A6">
        <w:rPr>
          <w:sz w:val="24"/>
          <w:szCs w:val="24"/>
          <w:lang w:val="es-PE"/>
        </w:rPr>
        <w:t>la productividad, con innovación y capacitación laboral,  más que privilegiar la búsqueda de rentas financieras o ganancias de capital.</w:t>
      </w:r>
      <w:r w:rsidR="00356BD4" w:rsidRPr="00D068A6">
        <w:rPr>
          <w:sz w:val="24"/>
          <w:szCs w:val="24"/>
          <w:lang w:val="es-PE"/>
        </w:rPr>
        <w:t xml:space="preserve"> Las propuestas precedentes son ingredientes para un renovado enfoque </w:t>
      </w:r>
      <w:r w:rsidR="00356BD4" w:rsidRPr="00D068A6">
        <w:rPr>
          <w:i/>
          <w:sz w:val="24"/>
          <w:szCs w:val="24"/>
          <w:lang w:val="es-PE"/>
        </w:rPr>
        <w:t>productivista</w:t>
      </w:r>
      <w:r w:rsidR="00345266" w:rsidRPr="00D068A6">
        <w:rPr>
          <w:i/>
          <w:sz w:val="24"/>
          <w:szCs w:val="24"/>
          <w:lang w:val="es-PE"/>
        </w:rPr>
        <w:t xml:space="preserve"> e incluyente</w:t>
      </w:r>
      <w:r w:rsidR="00356BD4" w:rsidRPr="00D068A6">
        <w:rPr>
          <w:i/>
          <w:sz w:val="24"/>
          <w:szCs w:val="24"/>
          <w:lang w:val="es-PE"/>
        </w:rPr>
        <w:t>.</w:t>
      </w:r>
    </w:p>
    <w:p w14:paraId="48BDFCC5" w14:textId="77777777" w:rsidR="002B2131" w:rsidRDefault="002B2131" w:rsidP="00341EE0">
      <w:pPr>
        <w:spacing w:line="360" w:lineRule="auto"/>
        <w:jc w:val="both"/>
        <w:rPr>
          <w:sz w:val="24"/>
          <w:szCs w:val="24"/>
          <w:lang w:val="es-PE"/>
        </w:rPr>
      </w:pPr>
    </w:p>
    <w:p w14:paraId="0C67FB70" w14:textId="77777777" w:rsidR="002B2131" w:rsidRPr="00D068A6" w:rsidRDefault="002B2131" w:rsidP="00341EE0">
      <w:pPr>
        <w:spacing w:line="360" w:lineRule="auto"/>
        <w:jc w:val="both"/>
        <w:rPr>
          <w:sz w:val="24"/>
          <w:szCs w:val="24"/>
          <w:lang w:val="es-PE"/>
        </w:rPr>
      </w:pPr>
    </w:p>
    <w:p w14:paraId="171B2938" w14:textId="0AC2B410" w:rsidR="007E5490" w:rsidRPr="00D068A6" w:rsidRDefault="009865CC" w:rsidP="00D80A4D">
      <w:pPr>
        <w:outlineLvl w:val="0"/>
        <w:rPr>
          <w:sz w:val="24"/>
          <w:szCs w:val="24"/>
          <w:lang w:val="es-PE"/>
        </w:rPr>
      </w:pPr>
      <w:r>
        <w:rPr>
          <w:sz w:val="24"/>
          <w:szCs w:val="24"/>
          <w:lang w:val="es-PE"/>
        </w:rPr>
        <w:t>BIBLIOGRAFÍA</w:t>
      </w:r>
    </w:p>
    <w:p w14:paraId="08090969" w14:textId="77777777" w:rsidR="00115E0C" w:rsidRPr="00D068A6" w:rsidRDefault="00115E0C" w:rsidP="007665B4">
      <w:pPr>
        <w:tabs>
          <w:tab w:val="left" w:pos="-720"/>
          <w:tab w:val="left" w:pos="945"/>
        </w:tabs>
        <w:suppressAutoHyphens/>
        <w:ind w:left="720" w:hanging="720"/>
        <w:rPr>
          <w:sz w:val="24"/>
          <w:szCs w:val="24"/>
          <w:lang w:val="es-PE"/>
        </w:rPr>
      </w:pPr>
    </w:p>
    <w:p w14:paraId="6B04822C" w14:textId="53A8DD8A" w:rsidR="00782D80" w:rsidRPr="00D068A6" w:rsidRDefault="002831EA" w:rsidP="00DF66AF">
      <w:pPr>
        <w:ind w:left="709" w:hanging="709"/>
        <w:rPr>
          <w:sz w:val="24"/>
          <w:szCs w:val="24"/>
          <w:lang w:val="es-PE"/>
        </w:rPr>
      </w:pPr>
      <w:r w:rsidRPr="00D068A6">
        <w:rPr>
          <w:sz w:val="24"/>
          <w:szCs w:val="24"/>
          <w:lang w:val="es-PE"/>
        </w:rPr>
        <w:t>Agosin,</w:t>
      </w:r>
      <w:r w:rsidR="00782D80" w:rsidRPr="00D068A6">
        <w:rPr>
          <w:sz w:val="24"/>
          <w:szCs w:val="24"/>
          <w:lang w:val="es-PE"/>
        </w:rPr>
        <w:t xml:space="preserve"> M</w:t>
      </w:r>
      <w:r w:rsidR="000B3065" w:rsidRPr="00D068A6">
        <w:rPr>
          <w:sz w:val="24"/>
          <w:szCs w:val="24"/>
          <w:lang w:val="es-PE"/>
        </w:rPr>
        <w:t>.,</w:t>
      </w:r>
      <w:r w:rsidR="00782D80" w:rsidRPr="00D068A6">
        <w:rPr>
          <w:spacing w:val="-3"/>
          <w:sz w:val="24"/>
          <w:szCs w:val="24"/>
          <w:lang w:val="es-PE"/>
        </w:rPr>
        <w:t xml:space="preserve"> Ch. Larraín </w:t>
      </w:r>
      <w:r w:rsidR="000404B6" w:rsidRPr="00D068A6">
        <w:rPr>
          <w:spacing w:val="-3"/>
          <w:sz w:val="24"/>
          <w:szCs w:val="24"/>
          <w:lang w:val="es-PE"/>
        </w:rPr>
        <w:t>y</w:t>
      </w:r>
      <w:r w:rsidR="00782D80" w:rsidRPr="00D068A6">
        <w:rPr>
          <w:spacing w:val="-3"/>
          <w:sz w:val="24"/>
          <w:szCs w:val="24"/>
          <w:lang w:val="es-PE"/>
        </w:rPr>
        <w:t xml:space="preserve"> N. Grau (2009), “</w:t>
      </w:r>
      <w:r w:rsidR="00782D80" w:rsidRPr="00D068A6">
        <w:rPr>
          <w:sz w:val="24"/>
          <w:szCs w:val="24"/>
          <w:lang w:val="es-PE"/>
        </w:rPr>
        <w:t>Industrial policy in Chile</w:t>
      </w:r>
      <w:r w:rsidR="00782D80" w:rsidRPr="00D068A6">
        <w:rPr>
          <w:b/>
          <w:sz w:val="24"/>
          <w:szCs w:val="24"/>
          <w:lang w:val="es-PE"/>
        </w:rPr>
        <w:t xml:space="preserve">”, </w:t>
      </w:r>
      <w:r w:rsidR="00782D80" w:rsidRPr="00D068A6">
        <w:rPr>
          <w:sz w:val="24"/>
          <w:szCs w:val="24"/>
          <w:lang w:val="es-PE"/>
        </w:rPr>
        <w:t>Departamento de Economía, Universidad de Chile, Santiago.</w:t>
      </w:r>
    </w:p>
    <w:p w14:paraId="2AE8E3C6" w14:textId="6CB17AD2" w:rsidR="00782D80" w:rsidRPr="00D068A6" w:rsidRDefault="00782D80" w:rsidP="007665B4">
      <w:pPr>
        <w:ind w:left="709" w:hanging="709"/>
        <w:rPr>
          <w:sz w:val="24"/>
          <w:szCs w:val="24"/>
          <w:lang w:val="es-PE"/>
        </w:rPr>
      </w:pPr>
      <w:r w:rsidRPr="00D068A6">
        <w:rPr>
          <w:sz w:val="24"/>
          <w:szCs w:val="24"/>
          <w:lang w:val="es-PE"/>
        </w:rPr>
        <w:t xml:space="preserve">Agostini, C. (2014), </w:t>
      </w:r>
      <w:r w:rsidR="000B3065" w:rsidRPr="00D068A6">
        <w:rPr>
          <w:sz w:val="24"/>
          <w:szCs w:val="24"/>
          <w:lang w:val="es-PE"/>
        </w:rPr>
        <w:t xml:space="preserve">“Hacia un mejor esquema tributario”, </w:t>
      </w:r>
      <w:r w:rsidR="000B3065" w:rsidRPr="00D068A6">
        <w:rPr>
          <w:i/>
          <w:sz w:val="24"/>
          <w:szCs w:val="24"/>
          <w:lang w:val="es-PE"/>
        </w:rPr>
        <w:t>Revista Mensaje</w:t>
      </w:r>
      <w:r w:rsidR="000B3065" w:rsidRPr="00D068A6">
        <w:rPr>
          <w:sz w:val="24"/>
          <w:szCs w:val="24"/>
          <w:lang w:val="es-PE"/>
        </w:rPr>
        <w:t xml:space="preserve"> No 629</w:t>
      </w:r>
      <w:r w:rsidR="00275725" w:rsidRPr="00D068A6">
        <w:rPr>
          <w:sz w:val="24"/>
          <w:szCs w:val="24"/>
          <w:lang w:val="es-PE"/>
        </w:rPr>
        <w:t>,</w:t>
      </w:r>
    </w:p>
    <w:p w14:paraId="301006BD" w14:textId="7A4DAC3F" w:rsidR="00782D80" w:rsidRPr="00D068A6" w:rsidRDefault="00782D80" w:rsidP="00275725">
      <w:pPr>
        <w:ind w:left="720" w:hanging="709"/>
        <w:rPr>
          <w:spacing w:val="-3"/>
          <w:sz w:val="24"/>
          <w:szCs w:val="24"/>
          <w:lang w:val="es-PE"/>
        </w:rPr>
      </w:pPr>
      <w:r w:rsidRPr="00D068A6">
        <w:rPr>
          <w:sz w:val="24"/>
          <w:szCs w:val="24"/>
          <w:lang w:val="es-PE"/>
        </w:rPr>
        <w:t xml:space="preserve">______  (2008), “Los impuestos importan”, </w:t>
      </w:r>
      <w:r w:rsidRPr="00D068A6">
        <w:rPr>
          <w:i/>
          <w:sz w:val="24"/>
          <w:szCs w:val="24"/>
          <w:lang w:val="es-PE"/>
        </w:rPr>
        <w:t>Observatorio Económico</w:t>
      </w:r>
      <w:r w:rsidRPr="00D068A6">
        <w:rPr>
          <w:sz w:val="24"/>
          <w:szCs w:val="24"/>
          <w:lang w:val="es-PE"/>
        </w:rPr>
        <w:t xml:space="preserve">, No 22, Universidad </w:t>
      </w:r>
      <w:r w:rsidR="00275725" w:rsidRPr="00D068A6">
        <w:rPr>
          <w:sz w:val="24"/>
          <w:szCs w:val="24"/>
          <w:lang w:val="es-PE"/>
        </w:rPr>
        <w:t xml:space="preserve">   </w:t>
      </w:r>
      <w:r w:rsidRPr="00D068A6">
        <w:rPr>
          <w:sz w:val="24"/>
          <w:szCs w:val="24"/>
          <w:lang w:val="es-PE"/>
        </w:rPr>
        <w:t>Alberto Hurtado, Santiago, septiembre.</w:t>
      </w:r>
    </w:p>
    <w:p w14:paraId="0225EE8D" w14:textId="0E78DBD7" w:rsidR="002831EA" w:rsidRPr="00D068A6" w:rsidRDefault="000404B6" w:rsidP="007665B4">
      <w:pPr>
        <w:tabs>
          <w:tab w:val="left" w:pos="-720"/>
          <w:tab w:val="left" w:pos="945"/>
        </w:tabs>
        <w:suppressAutoHyphens/>
        <w:ind w:left="720" w:hanging="720"/>
        <w:rPr>
          <w:sz w:val="24"/>
          <w:szCs w:val="24"/>
          <w:lang w:val="es-PE"/>
        </w:rPr>
      </w:pPr>
      <w:r w:rsidRPr="00D068A6">
        <w:rPr>
          <w:sz w:val="24"/>
          <w:szCs w:val="24"/>
          <w:lang w:val="es-PE"/>
        </w:rPr>
        <w:t>Bárc</w:t>
      </w:r>
      <w:r w:rsidR="002831EA" w:rsidRPr="00D068A6">
        <w:rPr>
          <w:sz w:val="24"/>
          <w:szCs w:val="24"/>
          <w:lang w:val="es-PE"/>
        </w:rPr>
        <w:t>ena</w:t>
      </w:r>
      <w:r w:rsidR="00782D80" w:rsidRPr="00D068A6">
        <w:rPr>
          <w:sz w:val="24"/>
          <w:szCs w:val="24"/>
          <w:lang w:val="es-PE"/>
        </w:rPr>
        <w:t>, A.</w:t>
      </w:r>
      <w:r w:rsidR="002831EA" w:rsidRPr="00D068A6">
        <w:rPr>
          <w:sz w:val="24"/>
          <w:szCs w:val="24"/>
          <w:lang w:val="es-PE"/>
        </w:rPr>
        <w:t xml:space="preserve"> y </w:t>
      </w:r>
      <w:r w:rsidR="00782D80" w:rsidRPr="00D068A6">
        <w:rPr>
          <w:sz w:val="24"/>
          <w:szCs w:val="24"/>
          <w:lang w:val="es-PE"/>
        </w:rPr>
        <w:t xml:space="preserve">A. </w:t>
      </w:r>
      <w:r w:rsidR="002831EA" w:rsidRPr="00D068A6">
        <w:rPr>
          <w:sz w:val="24"/>
          <w:szCs w:val="24"/>
          <w:lang w:val="es-PE"/>
        </w:rPr>
        <w:t>Prado</w:t>
      </w:r>
      <w:r w:rsidR="00782D80" w:rsidRPr="00D068A6">
        <w:rPr>
          <w:sz w:val="24"/>
          <w:szCs w:val="24"/>
          <w:lang w:val="es-PE"/>
        </w:rPr>
        <w:t xml:space="preserve"> (2015), eds., </w:t>
      </w:r>
      <w:r w:rsidR="00782D80" w:rsidRPr="00D068A6">
        <w:rPr>
          <w:i/>
          <w:sz w:val="24"/>
          <w:szCs w:val="24"/>
          <w:lang w:val="es-PE"/>
        </w:rPr>
        <w:t>Neoestructuralismo y corrientes heterodoxas en América Latina a inicios del siglo XXI</w:t>
      </w:r>
      <w:r w:rsidR="00782D80" w:rsidRPr="00D068A6">
        <w:rPr>
          <w:sz w:val="24"/>
          <w:szCs w:val="24"/>
          <w:lang w:val="es-PE"/>
        </w:rPr>
        <w:t>, CEPAL, Santiago.</w:t>
      </w:r>
    </w:p>
    <w:p w14:paraId="043D47A1" w14:textId="35CE2BC5" w:rsidR="002831EA" w:rsidRPr="00150FD8" w:rsidRDefault="002831EA" w:rsidP="008226EA">
      <w:pPr>
        <w:tabs>
          <w:tab w:val="left" w:pos="-720"/>
          <w:tab w:val="left" w:pos="945"/>
        </w:tabs>
        <w:suppressAutoHyphens/>
        <w:ind w:left="720" w:hanging="720"/>
        <w:jc w:val="both"/>
        <w:rPr>
          <w:sz w:val="24"/>
          <w:szCs w:val="24"/>
          <w:lang w:val="en-US"/>
        </w:rPr>
      </w:pPr>
      <w:r w:rsidRPr="00150FD8">
        <w:rPr>
          <w:sz w:val="24"/>
          <w:szCs w:val="24"/>
          <w:lang w:val="en-US"/>
        </w:rPr>
        <w:t xml:space="preserve">Blanchard, O., G. Dell’Ariccia </w:t>
      </w:r>
      <w:r w:rsidR="000404B6" w:rsidRPr="00150FD8">
        <w:rPr>
          <w:sz w:val="24"/>
          <w:szCs w:val="24"/>
          <w:lang w:val="en-US"/>
        </w:rPr>
        <w:t>y</w:t>
      </w:r>
      <w:r w:rsidRPr="00150FD8">
        <w:rPr>
          <w:sz w:val="24"/>
          <w:szCs w:val="24"/>
          <w:lang w:val="en-US"/>
        </w:rPr>
        <w:t xml:space="preserve"> P. Mauro (2010), “Rethinking macroeconomic policy”,</w:t>
      </w:r>
      <w:r w:rsidRPr="00150FD8">
        <w:rPr>
          <w:i/>
          <w:iCs/>
          <w:sz w:val="24"/>
          <w:szCs w:val="24"/>
          <w:lang w:val="en-US"/>
        </w:rPr>
        <w:t xml:space="preserve"> IMF Staff Position Note</w:t>
      </w:r>
      <w:r w:rsidRPr="00150FD8">
        <w:rPr>
          <w:sz w:val="24"/>
          <w:szCs w:val="24"/>
          <w:lang w:val="en-US"/>
        </w:rPr>
        <w:t xml:space="preserve">, SPN/10/03, Washington, D.C., International Monetary Fund, </w:t>
      </w:r>
      <w:r w:rsidR="00345266" w:rsidRPr="00150FD8">
        <w:rPr>
          <w:sz w:val="24"/>
          <w:szCs w:val="24"/>
          <w:lang w:val="en-US"/>
        </w:rPr>
        <w:t>febrero</w:t>
      </w:r>
      <w:r w:rsidRPr="00150FD8">
        <w:rPr>
          <w:sz w:val="24"/>
          <w:szCs w:val="24"/>
          <w:lang w:val="en-US"/>
        </w:rPr>
        <w:t>.</w:t>
      </w:r>
    </w:p>
    <w:p w14:paraId="5830ED1A" w14:textId="5CEAF3FE" w:rsidR="002831EA" w:rsidRPr="00D068A6" w:rsidRDefault="002831EA" w:rsidP="008226EA">
      <w:pPr>
        <w:jc w:val="both"/>
        <w:rPr>
          <w:sz w:val="24"/>
          <w:szCs w:val="24"/>
          <w:lang w:val="es-PE"/>
        </w:rPr>
      </w:pPr>
      <w:r w:rsidRPr="00D068A6">
        <w:rPr>
          <w:sz w:val="24"/>
          <w:szCs w:val="24"/>
          <w:lang w:val="es-PE"/>
        </w:rPr>
        <w:t>C</w:t>
      </w:r>
      <w:r w:rsidR="008226EA" w:rsidRPr="00D068A6">
        <w:rPr>
          <w:sz w:val="24"/>
          <w:szCs w:val="24"/>
          <w:lang w:val="es-PE"/>
        </w:rPr>
        <w:t xml:space="preserve">EPAL </w:t>
      </w:r>
      <w:r w:rsidR="00782D80" w:rsidRPr="00D068A6">
        <w:rPr>
          <w:sz w:val="24"/>
          <w:szCs w:val="24"/>
          <w:lang w:val="es-PE"/>
        </w:rPr>
        <w:t>(</w:t>
      </w:r>
      <w:r w:rsidRPr="00D068A6">
        <w:rPr>
          <w:sz w:val="24"/>
          <w:szCs w:val="24"/>
          <w:lang w:val="es-PE"/>
        </w:rPr>
        <w:t>2015</w:t>
      </w:r>
      <w:r w:rsidR="00782D80" w:rsidRPr="00D068A6">
        <w:rPr>
          <w:sz w:val="24"/>
          <w:szCs w:val="24"/>
          <w:lang w:val="es-PE"/>
        </w:rPr>
        <w:t xml:space="preserve">), </w:t>
      </w:r>
      <w:r w:rsidR="00782D80" w:rsidRPr="00D068A6">
        <w:rPr>
          <w:i/>
          <w:sz w:val="24"/>
          <w:szCs w:val="24"/>
          <w:lang w:val="es-PE"/>
        </w:rPr>
        <w:t>Balance Preliminar de América Latina y el Caribe</w:t>
      </w:r>
      <w:r w:rsidR="00782D80" w:rsidRPr="00D068A6">
        <w:rPr>
          <w:sz w:val="24"/>
          <w:szCs w:val="24"/>
          <w:lang w:val="es-PE"/>
        </w:rPr>
        <w:t>, 2015, Santiago.</w:t>
      </w:r>
    </w:p>
    <w:p w14:paraId="678D17C9" w14:textId="67D5EDE8" w:rsidR="003C2150" w:rsidRPr="00D068A6" w:rsidRDefault="003C2150" w:rsidP="008226EA">
      <w:pPr>
        <w:ind w:left="720" w:hanging="720"/>
        <w:jc w:val="both"/>
        <w:rPr>
          <w:sz w:val="24"/>
          <w:szCs w:val="24"/>
          <w:lang w:val="es-PE"/>
        </w:rPr>
      </w:pPr>
      <w:r w:rsidRPr="00D068A6">
        <w:rPr>
          <w:sz w:val="24"/>
          <w:szCs w:val="24"/>
          <w:lang w:val="es-PE"/>
        </w:rPr>
        <w:t xml:space="preserve">______ (2010), </w:t>
      </w:r>
      <w:r w:rsidRPr="00D068A6">
        <w:rPr>
          <w:i/>
          <w:sz w:val="24"/>
          <w:szCs w:val="24"/>
          <w:lang w:val="es-PE"/>
        </w:rPr>
        <w:t>La hora de la igualdad: brechas por cerrar, caminos por abrir,</w:t>
      </w:r>
      <w:r w:rsidRPr="00D068A6">
        <w:rPr>
          <w:sz w:val="24"/>
          <w:szCs w:val="24"/>
          <w:lang w:val="es-PE"/>
        </w:rPr>
        <w:t xml:space="preserve">  Naciones Unidas, Santiago. </w:t>
      </w:r>
    </w:p>
    <w:p w14:paraId="13998F2F" w14:textId="08FF9597" w:rsidR="000B3065" w:rsidRPr="00D068A6" w:rsidRDefault="000B3065" w:rsidP="008226EA">
      <w:pPr>
        <w:ind w:left="720" w:hanging="720"/>
        <w:jc w:val="both"/>
        <w:rPr>
          <w:sz w:val="24"/>
          <w:szCs w:val="24"/>
          <w:lang w:val="es-PE"/>
        </w:rPr>
      </w:pPr>
      <w:r w:rsidRPr="00D068A6">
        <w:rPr>
          <w:sz w:val="24"/>
          <w:szCs w:val="24"/>
          <w:lang w:val="es-PE"/>
        </w:rPr>
        <w:t>CORFO/UAI (20</w:t>
      </w:r>
      <w:r w:rsidR="000404B6" w:rsidRPr="00D068A6">
        <w:rPr>
          <w:sz w:val="24"/>
          <w:szCs w:val="24"/>
          <w:lang w:val="es-PE"/>
        </w:rPr>
        <w:t>16</w:t>
      </w:r>
      <w:r w:rsidRPr="00D068A6">
        <w:rPr>
          <w:sz w:val="24"/>
          <w:szCs w:val="24"/>
          <w:lang w:val="es-PE"/>
        </w:rPr>
        <w:t>),</w:t>
      </w:r>
      <w:r w:rsidR="00604F48" w:rsidRPr="00D068A6">
        <w:rPr>
          <w:sz w:val="24"/>
          <w:szCs w:val="24"/>
          <w:lang w:val="es-PE"/>
        </w:rPr>
        <w:t xml:space="preserve"> “Evolución de la PTF en Chile”, </w:t>
      </w:r>
      <w:r w:rsidR="00604F48" w:rsidRPr="00D068A6">
        <w:rPr>
          <w:i/>
          <w:sz w:val="24"/>
          <w:szCs w:val="24"/>
          <w:lang w:val="es-PE"/>
        </w:rPr>
        <w:t>Boletín Trimestral</w:t>
      </w:r>
      <w:r w:rsidR="00604F48" w:rsidRPr="00D068A6">
        <w:rPr>
          <w:sz w:val="24"/>
          <w:szCs w:val="24"/>
          <w:lang w:val="es-PE"/>
        </w:rPr>
        <w:t>, Santiago.</w:t>
      </w:r>
    </w:p>
    <w:p w14:paraId="1C8B5E76" w14:textId="6EA63068" w:rsidR="002831EA" w:rsidRPr="00D068A6" w:rsidRDefault="002831EA" w:rsidP="008226EA">
      <w:pPr>
        <w:ind w:left="720" w:hanging="720"/>
        <w:jc w:val="both"/>
        <w:rPr>
          <w:sz w:val="24"/>
          <w:szCs w:val="24"/>
          <w:lang w:val="es-PE"/>
        </w:rPr>
      </w:pPr>
      <w:r w:rsidRPr="00D068A6">
        <w:rPr>
          <w:sz w:val="24"/>
          <w:szCs w:val="24"/>
          <w:lang w:val="es-PE"/>
        </w:rPr>
        <w:t xml:space="preserve">DIPRES, </w:t>
      </w:r>
      <w:r w:rsidRPr="00D068A6">
        <w:rPr>
          <w:i/>
          <w:iCs/>
          <w:sz w:val="24"/>
          <w:szCs w:val="24"/>
          <w:lang w:val="es-PE"/>
        </w:rPr>
        <w:t>Informe de Finanzas Públicas,</w:t>
      </w:r>
      <w:r w:rsidRPr="00D068A6">
        <w:rPr>
          <w:iCs/>
          <w:sz w:val="24"/>
          <w:szCs w:val="24"/>
          <w:lang w:val="es-PE"/>
        </w:rPr>
        <w:t xml:space="preserve"> </w:t>
      </w:r>
      <w:r w:rsidR="000404B6" w:rsidRPr="00D068A6">
        <w:rPr>
          <w:iCs/>
          <w:sz w:val="24"/>
          <w:szCs w:val="24"/>
          <w:lang w:val="es-PE"/>
        </w:rPr>
        <w:t>varios informes</w:t>
      </w:r>
      <w:r w:rsidRPr="00D068A6">
        <w:rPr>
          <w:sz w:val="24"/>
          <w:szCs w:val="24"/>
          <w:lang w:val="es-PE"/>
        </w:rPr>
        <w:t>, Ministerio de Hacienda, Santiago.</w:t>
      </w:r>
    </w:p>
    <w:p w14:paraId="1F82B5F1" w14:textId="77777777" w:rsidR="008226EA" w:rsidRPr="00D068A6" w:rsidRDefault="0059596F" w:rsidP="008226EA">
      <w:pPr>
        <w:jc w:val="both"/>
        <w:rPr>
          <w:sz w:val="24"/>
          <w:szCs w:val="24"/>
          <w:lang w:val="es-PE"/>
        </w:rPr>
      </w:pPr>
      <w:r w:rsidRPr="00D068A6">
        <w:rPr>
          <w:sz w:val="24"/>
          <w:szCs w:val="24"/>
          <w:lang w:val="es-PE"/>
        </w:rPr>
        <w:t xml:space="preserve">_____ (2016), </w:t>
      </w:r>
      <w:r w:rsidR="008226EA" w:rsidRPr="00D068A6">
        <w:rPr>
          <w:sz w:val="24"/>
          <w:szCs w:val="24"/>
          <w:lang w:val="es-PE"/>
        </w:rPr>
        <w:t>“</w:t>
      </w:r>
      <w:r w:rsidRPr="00D068A6">
        <w:rPr>
          <w:sz w:val="24"/>
          <w:szCs w:val="24"/>
          <w:lang w:val="es-PE"/>
        </w:rPr>
        <w:t>Estado de Operaciones de</w:t>
      </w:r>
      <w:r w:rsidR="000404B6" w:rsidRPr="00D068A6">
        <w:rPr>
          <w:sz w:val="24"/>
          <w:szCs w:val="24"/>
          <w:lang w:val="es-PE"/>
        </w:rPr>
        <w:t>l</w:t>
      </w:r>
      <w:r w:rsidRPr="00D068A6">
        <w:rPr>
          <w:sz w:val="24"/>
          <w:szCs w:val="24"/>
          <w:lang w:val="es-PE"/>
        </w:rPr>
        <w:t xml:space="preserve"> Gobierno a diciembre de 2015</w:t>
      </w:r>
      <w:r w:rsidR="008226EA" w:rsidRPr="00D068A6">
        <w:rPr>
          <w:sz w:val="24"/>
          <w:szCs w:val="24"/>
          <w:lang w:val="es-PE"/>
        </w:rPr>
        <w:t xml:space="preserve">”, Ministerio de </w:t>
      </w:r>
    </w:p>
    <w:p w14:paraId="10844E6D" w14:textId="748AACEC" w:rsidR="0059596F" w:rsidRPr="00D068A6" w:rsidRDefault="008226EA" w:rsidP="008226EA">
      <w:pPr>
        <w:ind w:firstLine="708"/>
        <w:jc w:val="both"/>
        <w:rPr>
          <w:sz w:val="24"/>
          <w:szCs w:val="24"/>
          <w:lang w:val="es-PE"/>
        </w:rPr>
      </w:pPr>
      <w:r w:rsidRPr="00D068A6">
        <w:rPr>
          <w:sz w:val="24"/>
          <w:szCs w:val="24"/>
          <w:lang w:val="es-PE"/>
        </w:rPr>
        <w:t>Hacienda, Santiago</w:t>
      </w:r>
      <w:r w:rsidR="0059596F" w:rsidRPr="00D068A6">
        <w:rPr>
          <w:sz w:val="24"/>
          <w:szCs w:val="24"/>
          <w:lang w:val="es-PE"/>
        </w:rPr>
        <w:t>.</w:t>
      </w:r>
    </w:p>
    <w:p w14:paraId="78267145" w14:textId="6FC640BF" w:rsidR="008226EA" w:rsidRPr="00D068A6" w:rsidRDefault="002831EA" w:rsidP="00D80A4D">
      <w:pPr>
        <w:shd w:val="clear" w:color="auto" w:fill="FFFFFF"/>
        <w:jc w:val="both"/>
        <w:outlineLvl w:val="0"/>
        <w:rPr>
          <w:color w:val="222222"/>
          <w:sz w:val="24"/>
          <w:szCs w:val="24"/>
          <w:lang w:val="es-PE"/>
        </w:rPr>
      </w:pPr>
      <w:r w:rsidRPr="00D068A6">
        <w:rPr>
          <w:spacing w:val="-2"/>
          <w:sz w:val="24"/>
          <w:szCs w:val="24"/>
          <w:lang w:val="es-PE"/>
        </w:rPr>
        <w:t>DIRECON (201</w:t>
      </w:r>
      <w:r w:rsidR="003C2150" w:rsidRPr="00D068A6">
        <w:rPr>
          <w:spacing w:val="-2"/>
          <w:sz w:val="24"/>
          <w:szCs w:val="24"/>
          <w:lang w:val="es-PE"/>
        </w:rPr>
        <w:t>6</w:t>
      </w:r>
      <w:r w:rsidRPr="00D068A6">
        <w:rPr>
          <w:spacing w:val="-2"/>
          <w:sz w:val="24"/>
          <w:szCs w:val="24"/>
          <w:lang w:val="es-PE"/>
        </w:rPr>
        <w:t>),</w:t>
      </w:r>
      <w:r w:rsidR="008226EA" w:rsidRPr="00D068A6">
        <w:rPr>
          <w:spacing w:val="-2"/>
          <w:sz w:val="24"/>
          <w:szCs w:val="24"/>
          <w:lang w:val="es-PE"/>
        </w:rPr>
        <w:t xml:space="preserve"> </w:t>
      </w:r>
      <w:hyperlink r:id="rId8" w:tgtFrame="_blank" w:history="1">
        <w:r w:rsidR="008226EA" w:rsidRPr="00D068A6">
          <w:rPr>
            <w:rStyle w:val="Hipervnculo"/>
            <w:color w:val="1155CC"/>
            <w:sz w:val="24"/>
            <w:szCs w:val="24"/>
            <w:lang w:val="es-PE"/>
          </w:rPr>
          <w:t>https://www.direcon.gob.cl/acuerdos-comerciales/</w:t>
        </w:r>
      </w:hyperlink>
    </w:p>
    <w:p w14:paraId="3B262ADD" w14:textId="069DFFD1" w:rsidR="00A75913" w:rsidRPr="00150FD8" w:rsidRDefault="002831EA" w:rsidP="00D80A4D">
      <w:pPr>
        <w:jc w:val="both"/>
        <w:outlineLvl w:val="0"/>
        <w:rPr>
          <w:sz w:val="24"/>
          <w:szCs w:val="24"/>
          <w:lang w:val="en-US"/>
        </w:rPr>
      </w:pPr>
      <w:r w:rsidRPr="00150FD8">
        <w:rPr>
          <w:spacing w:val="-2"/>
          <w:sz w:val="24"/>
          <w:szCs w:val="24"/>
          <w:lang w:val="en-US"/>
        </w:rPr>
        <w:t xml:space="preserve">Dodd, R. </w:t>
      </w:r>
      <w:r w:rsidR="000404B6" w:rsidRPr="00150FD8">
        <w:rPr>
          <w:spacing w:val="-2"/>
          <w:sz w:val="24"/>
          <w:szCs w:val="24"/>
          <w:lang w:val="en-US"/>
        </w:rPr>
        <w:t>y</w:t>
      </w:r>
      <w:r w:rsidRPr="00150FD8">
        <w:rPr>
          <w:spacing w:val="-2"/>
          <w:sz w:val="24"/>
          <w:szCs w:val="24"/>
          <w:lang w:val="en-US"/>
        </w:rPr>
        <w:t xml:space="preserve"> S</w:t>
      </w:r>
      <w:r w:rsidR="000B3065" w:rsidRPr="00150FD8">
        <w:rPr>
          <w:spacing w:val="-2"/>
          <w:sz w:val="24"/>
          <w:szCs w:val="24"/>
          <w:lang w:val="en-US"/>
        </w:rPr>
        <w:t>.</w:t>
      </w:r>
      <w:r w:rsidRPr="00150FD8">
        <w:rPr>
          <w:spacing w:val="-2"/>
          <w:sz w:val="24"/>
          <w:szCs w:val="24"/>
          <w:lang w:val="en-US"/>
        </w:rPr>
        <w:t xml:space="preserve"> Gri</w:t>
      </w:r>
      <w:r w:rsidR="000B3065" w:rsidRPr="00150FD8">
        <w:rPr>
          <w:spacing w:val="-2"/>
          <w:sz w:val="24"/>
          <w:szCs w:val="24"/>
          <w:lang w:val="en-US"/>
        </w:rPr>
        <w:t>f</w:t>
      </w:r>
      <w:r w:rsidRPr="00150FD8">
        <w:rPr>
          <w:spacing w:val="-2"/>
          <w:sz w:val="24"/>
          <w:szCs w:val="24"/>
          <w:lang w:val="en-US"/>
        </w:rPr>
        <w:t>fith-Jones (2006)</w:t>
      </w:r>
      <w:r w:rsidR="003C2150" w:rsidRPr="00150FD8">
        <w:rPr>
          <w:sz w:val="24"/>
          <w:szCs w:val="24"/>
          <w:lang w:val="en-US"/>
        </w:rPr>
        <w:t xml:space="preserve">, “Report on Derivatives Markets: Stabilizing or </w:t>
      </w:r>
    </w:p>
    <w:p w14:paraId="6E996DCE" w14:textId="586B5D1F" w:rsidR="003C2150" w:rsidRPr="00150FD8" w:rsidRDefault="003C2150" w:rsidP="008226EA">
      <w:pPr>
        <w:ind w:left="708"/>
        <w:jc w:val="both"/>
        <w:rPr>
          <w:sz w:val="24"/>
          <w:szCs w:val="24"/>
          <w:lang w:val="en-US"/>
        </w:rPr>
      </w:pPr>
      <w:r w:rsidRPr="00150FD8">
        <w:rPr>
          <w:sz w:val="24"/>
          <w:szCs w:val="24"/>
          <w:lang w:val="en-US"/>
        </w:rPr>
        <w:lastRenderedPageBreak/>
        <w:t>Speculative, Impact on Chile and a Comparison with Brazil”,  Proyectos CEPAL, octubre.</w:t>
      </w:r>
    </w:p>
    <w:p w14:paraId="0093E836" w14:textId="1437224B" w:rsidR="00B22636" w:rsidRPr="00D068A6" w:rsidRDefault="002831EA" w:rsidP="008226EA">
      <w:pPr>
        <w:jc w:val="both"/>
        <w:rPr>
          <w:spacing w:val="-3"/>
          <w:sz w:val="24"/>
          <w:szCs w:val="24"/>
          <w:lang w:val="es-PE"/>
        </w:rPr>
      </w:pPr>
      <w:r w:rsidRPr="00D068A6">
        <w:rPr>
          <w:sz w:val="24"/>
          <w:szCs w:val="24"/>
          <w:lang w:val="es-PE"/>
        </w:rPr>
        <w:t xml:space="preserve">Ffrench-Davis, R. </w:t>
      </w:r>
      <w:r w:rsidR="002A49EF" w:rsidRPr="00D068A6">
        <w:rPr>
          <w:spacing w:val="-3"/>
          <w:sz w:val="24"/>
          <w:szCs w:val="24"/>
          <w:lang w:val="es-PE"/>
        </w:rPr>
        <w:t>(2016</w:t>
      </w:r>
      <w:r w:rsidR="00E027E1" w:rsidRPr="00D068A6">
        <w:rPr>
          <w:spacing w:val="-3"/>
          <w:sz w:val="24"/>
          <w:szCs w:val="24"/>
          <w:lang w:val="es-PE"/>
        </w:rPr>
        <w:t>a</w:t>
      </w:r>
      <w:r w:rsidR="002A49EF" w:rsidRPr="00D068A6">
        <w:rPr>
          <w:spacing w:val="-3"/>
          <w:sz w:val="24"/>
          <w:szCs w:val="24"/>
          <w:lang w:val="es-PE"/>
        </w:rPr>
        <w:t xml:space="preserve">), </w:t>
      </w:r>
      <w:r w:rsidR="00F0237B" w:rsidRPr="00D068A6">
        <w:rPr>
          <w:spacing w:val="-3"/>
          <w:sz w:val="24"/>
          <w:szCs w:val="24"/>
          <w:lang w:val="es-PE"/>
        </w:rPr>
        <w:t xml:space="preserve">“La experiencia de Chile con el Balance Fiscal Estructural”, </w:t>
      </w:r>
    </w:p>
    <w:p w14:paraId="01DD993C" w14:textId="342EECAE" w:rsidR="002A49EF" w:rsidRPr="00D068A6" w:rsidRDefault="00F0237B" w:rsidP="008226EA">
      <w:pPr>
        <w:ind w:firstLine="708"/>
        <w:jc w:val="both"/>
        <w:rPr>
          <w:spacing w:val="-3"/>
          <w:sz w:val="24"/>
          <w:szCs w:val="24"/>
          <w:lang w:val="es-PE"/>
        </w:rPr>
      </w:pPr>
      <w:r w:rsidRPr="00D068A6">
        <w:rPr>
          <w:i/>
          <w:spacing w:val="-3"/>
          <w:sz w:val="24"/>
          <w:szCs w:val="24"/>
          <w:lang w:val="es-PE"/>
        </w:rPr>
        <w:t>Cuadernos de Economía</w:t>
      </w:r>
      <w:r w:rsidRPr="00D068A6">
        <w:rPr>
          <w:spacing w:val="-3"/>
          <w:sz w:val="24"/>
          <w:szCs w:val="24"/>
          <w:lang w:val="es-PE"/>
        </w:rPr>
        <w:t>, Vol. XXXV, No 67, pp</w:t>
      </w:r>
      <w:r w:rsidR="000404B6" w:rsidRPr="00D068A6">
        <w:rPr>
          <w:spacing w:val="-3"/>
          <w:sz w:val="24"/>
          <w:szCs w:val="24"/>
          <w:lang w:val="es-PE"/>
        </w:rPr>
        <w:t>.</w:t>
      </w:r>
      <w:r w:rsidRPr="00D068A6">
        <w:rPr>
          <w:spacing w:val="-3"/>
          <w:sz w:val="24"/>
          <w:szCs w:val="24"/>
          <w:lang w:val="es-PE"/>
        </w:rPr>
        <w:t>149-170, Bogotá.</w:t>
      </w:r>
      <w:r w:rsidR="002A49EF" w:rsidRPr="00D068A6">
        <w:rPr>
          <w:spacing w:val="-3"/>
          <w:sz w:val="24"/>
          <w:szCs w:val="24"/>
          <w:lang w:val="es-PE"/>
        </w:rPr>
        <w:t xml:space="preserve"> </w:t>
      </w:r>
    </w:p>
    <w:p w14:paraId="5C01310D" w14:textId="0B36D00F" w:rsidR="000404B6" w:rsidRPr="00D068A6" w:rsidRDefault="00E027E1" w:rsidP="008226EA">
      <w:pPr>
        <w:jc w:val="both"/>
        <w:rPr>
          <w:spacing w:val="-3"/>
          <w:sz w:val="24"/>
          <w:szCs w:val="24"/>
          <w:lang w:val="es-PE"/>
        </w:rPr>
      </w:pPr>
      <w:r w:rsidRPr="00D068A6">
        <w:rPr>
          <w:spacing w:val="-3"/>
          <w:sz w:val="24"/>
          <w:szCs w:val="24"/>
          <w:lang w:val="es-PE"/>
        </w:rPr>
        <w:t xml:space="preserve">_____  (2016b), </w:t>
      </w:r>
      <w:r w:rsidR="000404B6" w:rsidRPr="00D068A6">
        <w:rPr>
          <w:spacing w:val="-3"/>
          <w:sz w:val="24"/>
          <w:szCs w:val="24"/>
          <w:lang w:val="es-PE"/>
        </w:rPr>
        <w:t xml:space="preserve">“Chile en la economía internacional: trayectoria reciente y desafíos”, </w:t>
      </w:r>
    </w:p>
    <w:p w14:paraId="222B4E52" w14:textId="34C3AFD1" w:rsidR="00E027E1" w:rsidRPr="00150FD8" w:rsidRDefault="000404B6" w:rsidP="008226EA">
      <w:pPr>
        <w:ind w:firstLine="708"/>
        <w:jc w:val="both"/>
        <w:rPr>
          <w:spacing w:val="-3"/>
          <w:sz w:val="24"/>
          <w:szCs w:val="24"/>
          <w:lang w:val="en-US"/>
        </w:rPr>
      </w:pPr>
      <w:r w:rsidRPr="00150FD8">
        <w:rPr>
          <w:spacing w:val="-3"/>
          <w:sz w:val="24"/>
          <w:szCs w:val="24"/>
          <w:lang w:val="en-US"/>
        </w:rPr>
        <w:t>FCE/</w:t>
      </w:r>
      <w:r w:rsidR="00E027E1" w:rsidRPr="00150FD8">
        <w:rPr>
          <w:spacing w:val="-3"/>
          <w:sz w:val="24"/>
          <w:szCs w:val="24"/>
          <w:lang w:val="en-US"/>
        </w:rPr>
        <w:t>RIAL</w:t>
      </w:r>
      <w:r w:rsidRPr="00150FD8">
        <w:rPr>
          <w:spacing w:val="-3"/>
          <w:sz w:val="24"/>
          <w:szCs w:val="24"/>
          <w:lang w:val="en-US"/>
        </w:rPr>
        <w:t>, Santiago.</w:t>
      </w:r>
    </w:p>
    <w:p w14:paraId="2C5D259E" w14:textId="6952C1A2" w:rsidR="00A75913" w:rsidRPr="00150FD8" w:rsidRDefault="00964B60" w:rsidP="008226EA">
      <w:pPr>
        <w:jc w:val="both"/>
        <w:rPr>
          <w:spacing w:val="-3"/>
          <w:sz w:val="24"/>
          <w:szCs w:val="24"/>
          <w:lang w:val="en-US"/>
        </w:rPr>
      </w:pPr>
      <w:r w:rsidRPr="00150FD8">
        <w:rPr>
          <w:spacing w:val="-3"/>
          <w:sz w:val="24"/>
          <w:szCs w:val="24"/>
          <w:lang w:val="en-US"/>
        </w:rPr>
        <w:t xml:space="preserve">_____ </w:t>
      </w:r>
      <w:r w:rsidR="008A0BF5">
        <w:rPr>
          <w:spacing w:val="-3"/>
          <w:sz w:val="24"/>
          <w:szCs w:val="24"/>
          <w:lang w:val="en-US"/>
        </w:rPr>
        <w:t xml:space="preserve"> </w:t>
      </w:r>
      <w:r w:rsidR="0013640E">
        <w:rPr>
          <w:spacing w:val="-3"/>
          <w:sz w:val="24"/>
          <w:szCs w:val="24"/>
          <w:lang w:val="en-US"/>
        </w:rPr>
        <w:t xml:space="preserve"> </w:t>
      </w:r>
      <w:r w:rsidRPr="00150FD8">
        <w:rPr>
          <w:spacing w:val="-3"/>
          <w:sz w:val="24"/>
          <w:szCs w:val="24"/>
          <w:lang w:val="en-US"/>
        </w:rPr>
        <w:t xml:space="preserve">(2015), “Chile since 1999: From counter-cyclical to pro-cyclical macroeconomics”, </w:t>
      </w:r>
    </w:p>
    <w:p w14:paraId="254B6D42" w14:textId="15FDC32C" w:rsidR="00964B60" w:rsidRPr="00150FD8" w:rsidRDefault="00964B60" w:rsidP="008226EA">
      <w:pPr>
        <w:ind w:firstLine="708"/>
        <w:jc w:val="both"/>
        <w:rPr>
          <w:spacing w:val="-3"/>
          <w:sz w:val="24"/>
          <w:szCs w:val="24"/>
          <w:lang w:val="en-US"/>
        </w:rPr>
      </w:pPr>
      <w:r w:rsidRPr="00150FD8">
        <w:rPr>
          <w:i/>
          <w:spacing w:val="-3"/>
          <w:sz w:val="24"/>
          <w:szCs w:val="24"/>
          <w:lang w:val="en-US"/>
        </w:rPr>
        <w:t>Comparative Economic Studies</w:t>
      </w:r>
      <w:r w:rsidRPr="00150FD8">
        <w:rPr>
          <w:spacing w:val="-3"/>
          <w:sz w:val="24"/>
          <w:szCs w:val="24"/>
          <w:lang w:val="en-US"/>
        </w:rPr>
        <w:t>, Vol. 77, Issue 3, pp. 426-53.</w:t>
      </w:r>
    </w:p>
    <w:p w14:paraId="43353DCF" w14:textId="77777777" w:rsidR="00A75913" w:rsidRPr="00D068A6" w:rsidRDefault="002A49EF" w:rsidP="008226EA">
      <w:pPr>
        <w:jc w:val="both"/>
        <w:rPr>
          <w:sz w:val="24"/>
          <w:szCs w:val="24"/>
          <w:lang w:val="es-PE"/>
        </w:rPr>
      </w:pPr>
      <w:r w:rsidRPr="00D068A6">
        <w:rPr>
          <w:sz w:val="24"/>
          <w:szCs w:val="24"/>
          <w:lang w:val="es-PE"/>
        </w:rPr>
        <w:t xml:space="preserve">_____ </w:t>
      </w:r>
      <w:r w:rsidR="00F0237B" w:rsidRPr="00D068A6">
        <w:rPr>
          <w:sz w:val="24"/>
          <w:szCs w:val="24"/>
          <w:lang w:val="es-PE"/>
        </w:rPr>
        <w:t xml:space="preserve">  </w:t>
      </w:r>
      <w:r w:rsidR="002831EA" w:rsidRPr="00D068A6">
        <w:rPr>
          <w:sz w:val="24"/>
          <w:szCs w:val="24"/>
          <w:lang w:val="es-PE"/>
        </w:rPr>
        <w:t xml:space="preserve">(2014), </w:t>
      </w:r>
      <w:r w:rsidR="002831EA" w:rsidRPr="00D068A6">
        <w:rPr>
          <w:i/>
          <w:iCs/>
          <w:sz w:val="24"/>
          <w:szCs w:val="24"/>
          <w:lang w:val="es-PE"/>
        </w:rPr>
        <w:t>Chile entre el neo-liberalismo y el crecimiento con equidad,</w:t>
      </w:r>
      <w:r w:rsidR="00964B60" w:rsidRPr="00D068A6">
        <w:rPr>
          <w:i/>
          <w:iCs/>
          <w:sz w:val="24"/>
          <w:szCs w:val="24"/>
          <w:lang w:val="es-PE"/>
        </w:rPr>
        <w:t xml:space="preserve"> </w:t>
      </w:r>
      <w:r w:rsidR="002831EA" w:rsidRPr="00D068A6">
        <w:rPr>
          <w:sz w:val="24"/>
          <w:szCs w:val="24"/>
          <w:lang w:val="es-PE"/>
        </w:rPr>
        <w:t xml:space="preserve">quinta edición, </w:t>
      </w:r>
    </w:p>
    <w:p w14:paraId="7C77CC80" w14:textId="7796AB9F" w:rsidR="002831EA" w:rsidRPr="003269D0" w:rsidRDefault="002831EA" w:rsidP="008226EA">
      <w:pPr>
        <w:ind w:left="708"/>
        <w:jc w:val="both"/>
        <w:rPr>
          <w:sz w:val="24"/>
          <w:szCs w:val="24"/>
          <w:lang w:val="es-CL"/>
        </w:rPr>
      </w:pPr>
      <w:r w:rsidRPr="003269D0">
        <w:rPr>
          <w:sz w:val="24"/>
          <w:szCs w:val="24"/>
          <w:lang w:val="es-CL"/>
        </w:rPr>
        <w:t xml:space="preserve">JCSáez Editor, Santiago. </w:t>
      </w:r>
      <w:r w:rsidR="00440190">
        <w:rPr>
          <w:sz w:val="24"/>
          <w:szCs w:val="24"/>
          <w:lang w:val="es-CL"/>
        </w:rPr>
        <w:t>Una sexta edición, actualizada, será publicada por  TAURUS en 2017.</w:t>
      </w:r>
    </w:p>
    <w:p w14:paraId="125760DA" w14:textId="105CD765" w:rsidR="002831EA" w:rsidRPr="002B2131" w:rsidRDefault="002B2131" w:rsidP="008226EA">
      <w:pPr>
        <w:tabs>
          <w:tab w:val="left" w:pos="-720"/>
        </w:tabs>
        <w:suppressAutoHyphens/>
        <w:ind w:left="720" w:hanging="720"/>
        <w:jc w:val="both"/>
        <w:rPr>
          <w:spacing w:val="-3"/>
          <w:sz w:val="24"/>
          <w:szCs w:val="24"/>
          <w:lang w:val="es-CL"/>
        </w:rPr>
      </w:pPr>
      <w:r>
        <w:rPr>
          <w:spacing w:val="-3"/>
          <w:sz w:val="24"/>
          <w:szCs w:val="24"/>
          <w:lang w:val="es-CL"/>
        </w:rPr>
        <w:t xml:space="preserve">_____ </w:t>
      </w:r>
      <w:r w:rsidR="002831EA" w:rsidRPr="002B2131">
        <w:rPr>
          <w:spacing w:val="-3"/>
          <w:sz w:val="24"/>
          <w:szCs w:val="24"/>
          <w:lang w:val="es-CL"/>
        </w:rPr>
        <w:t xml:space="preserve">(2010), </w:t>
      </w:r>
      <w:r w:rsidR="002831EA" w:rsidRPr="002B2131">
        <w:rPr>
          <w:spacing w:val="-2"/>
          <w:sz w:val="24"/>
          <w:szCs w:val="24"/>
          <w:lang w:val="es-CL"/>
        </w:rPr>
        <w:t>“Macroeconom</w:t>
      </w:r>
      <w:r w:rsidRPr="002B2131">
        <w:rPr>
          <w:spacing w:val="-2"/>
          <w:sz w:val="24"/>
          <w:szCs w:val="24"/>
          <w:lang w:val="es-CL"/>
        </w:rPr>
        <w:t>ía para el desarrollo</w:t>
      </w:r>
      <w:r w:rsidR="002831EA" w:rsidRPr="002B2131">
        <w:rPr>
          <w:spacing w:val="-2"/>
          <w:sz w:val="24"/>
          <w:szCs w:val="24"/>
          <w:lang w:val="es-CL"/>
        </w:rPr>
        <w:t xml:space="preserve">: </w:t>
      </w:r>
      <w:r w:rsidRPr="002B2131">
        <w:rPr>
          <w:spacing w:val="-2"/>
          <w:sz w:val="24"/>
          <w:szCs w:val="24"/>
          <w:lang w:val="es-CL"/>
        </w:rPr>
        <w:t>desde el</w:t>
      </w:r>
      <w:r w:rsidR="002831EA" w:rsidRPr="002B2131">
        <w:rPr>
          <w:spacing w:val="-2"/>
          <w:sz w:val="24"/>
          <w:szCs w:val="24"/>
          <w:lang w:val="es-CL"/>
        </w:rPr>
        <w:t xml:space="preserve"> ‘financierism</w:t>
      </w:r>
      <w:r>
        <w:rPr>
          <w:spacing w:val="-2"/>
          <w:sz w:val="24"/>
          <w:szCs w:val="24"/>
          <w:lang w:val="es-CL"/>
        </w:rPr>
        <w:t>o</w:t>
      </w:r>
      <w:r w:rsidR="002831EA" w:rsidRPr="002B2131">
        <w:rPr>
          <w:spacing w:val="-2"/>
          <w:sz w:val="24"/>
          <w:szCs w:val="24"/>
          <w:lang w:val="es-CL"/>
        </w:rPr>
        <w:t xml:space="preserve">’ </w:t>
      </w:r>
      <w:r>
        <w:rPr>
          <w:spacing w:val="-2"/>
          <w:sz w:val="24"/>
          <w:szCs w:val="24"/>
          <w:lang w:val="es-CL"/>
        </w:rPr>
        <w:t>al</w:t>
      </w:r>
      <w:r w:rsidR="002831EA" w:rsidRPr="002B2131">
        <w:rPr>
          <w:spacing w:val="-2"/>
          <w:sz w:val="24"/>
          <w:szCs w:val="24"/>
          <w:lang w:val="es-CL"/>
        </w:rPr>
        <w:t xml:space="preserve"> ‘productivism</w:t>
      </w:r>
      <w:r>
        <w:rPr>
          <w:spacing w:val="-2"/>
          <w:sz w:val="24"/>
          <w:szCs w:val="24"/>
          <w:lang w:val="es-CL"/>
        </w:rPr>
        <w:t>o</w:t>
      </w:r>
      <w:r w:rsidR="002831EA" w:rsidRPr="002B2131">
        <w:rPr>
          <w:spacing w:val="-2"/>
          <w:sz w:val="24"/>
          <w:szCs w:val="24"/>
          <w:lang w:val="es-CL"/>
        </w:rPr>
        <w:t xml:space="preserve">”, </w:t>
      </w:r>
      <w:r w:rsidR="008226EA" w:rsidRPr="002B2131">
        <w:rPr>
          <w:i/>
          <w:spacing w:val="-2"/>
          <w:sz w:val="24"/>
          <w:szCs w:val="24"/>
          <w:lang w:val="es-CL"/>
        </w:rPr>
        <w:t xml:space="preserve">Revista </w:t>
      </w:r>
      <w:r w:rsidR="002831EA" w:rsidRPr="002B2131">
        <w:rPr>
          <w:i/>
          <w:iCs/>
          <w:spacing w:val="-2"/>
          <w:sz w:val="24"/>
          <w:szCs w:val="24"/>
          <w:lang w:val="es-CL"/>
        </w:rPr>
        <w:t>CEPAL</w:t>
      </w:r>
      <w:r w:rsidR="002831EA" w:rsidRPr="002B2131">
        <w:rPr>
          <w:spacing w:val="-2"/>
          <w:sz w:val="24"/>
          <w:szCs w:val="24"/>
          <w:lang w:val="es-CL"/>
        </w:rPr>
        <w:t xml:space="preserve">, No. 102, </w:t>
      </w:r>
      <w:r w:rsidR="00345266" w:rsidRPr="002B2131">
        <w:rPr>
          <w:spacing w:val="-2"/>
          <w:sz w:val="24"/>
          <w:szCs w:val="24"/>
          <w:lang w:val="es-CL"/>
        </w:rPr>
        <w:t>diciembre</w:t>
      </w:r>
      <w:r w:rsidR="002831EA" w:rsidRPr="002B2131">
        <w:rPr>
          <w:spacing w:val="-2"/>
          <w:sz w:val="24"/>
          <w:szCs w:val="24"/>
          <w:lang w:val="es-CL"/>
        </w:rPr>
        <w:t>.</w:t>
      </w:r>
      <w:r w:rsidR="002831EA" w:rsidRPr="002B2131">
        <w:rPr>
          <w:spacing w:val="-3"/>
          <w:sz w:val="24"/>
          <w:szCs w:val="24"/>
          <w:lang w:val="es-CL"/>
        </w:rPr>
        <w:t xml:space="preserve">  </w:t>
      </w:r>
    </w:p>
    <w:p w14:paraId="3D2B347B" w14:textId="5FD89206" w:rsidR="002831EA" w:rsidRPr="00150FD8" w:rsidRDefault="002831EA" w:rsidP="008226EA">
      <w:pPr>
        <w:tabs>
          <w:tab w:val="left" w:pos="-720"/>
        </w:tabs>
        <w:suppressAutoHyphens/>
        <w:ind w:left="720" w:hanging="720"/>
        <w:jc w:val="both"/>
        <w:rPr>
          <w:spacing w:val="-3"/>
          <w:sz w:val="24"/>
          <w:szCs w:val="24"/>
          <w:lang w:val="en-US"/>
        </w:rPr>
      </w:pPr>
      <w:r w:rsidRPr="00150FD8">
        <w:rPr>
          <w:spacing w:val="-3"/>
          <w:sz w:val="24"/>
          <w:szCs w:val="24"/>
          <w:lang w:val="en-US"/>
        </w:rPr>
        <w:t>Ffrench-Davis</w:t>
      </w:r>
      <w:r w:rsidR="00F0237B" w:rsidRPr="00150FD8">
        <w:rPr>
          <w:spacing w:val="-3"/>
          <w:sz w:val="24"/>
          <w:szCs w:val="24"/>
          <w:lang w:val="en-US"/>
        </w:rPr>
        <w:t>, R.</w:t>
      </w:r>
      <w:r w:rsidR="007665B4" w:rsidRPr="00150FD8">
        <w:rPr>
          <w:spacing w:val="-3"/>
          <w:sz w:val="24"/>
          <w:szCs w:val="24"/>
          <w:lang w:val="en-US"/>
        </w:rPr>
        <w:t>,</w:t>
      </w:r>
      <w:r w:rsidR="00F0237B" w:rsidRPr="00150FD8">
        <w:rPr>
          <w:spacing w:val="-3"/>
          <w:sz w:val="24"/>
          <w:szCs w:val="24"/>
          <w:lang w:val="en-US"/>
        </w:rPr>
        <w:t xml:space="preserve"> K.</w:t>
      </w:r>
      <w:r w:rsidRPr="00150FD8">
        <w:rPr>
          <w:spacing w:val="-3"/>
          <w:sz w:val="24"/>
          <w:szCs w:val="24"/>
          <w:lang w:val="en-US"/>
        </w:rPr>
        <w:t xml:space="preserve"> Gallagher </w:t>
      </w:r>
      <w:r w:rsidRPr="00150FD8">
        <w:rPr>
          <w:i/>
          <w:spacing w:val="-3"/>
          <w:sz w:val="24"/>
          <w:szCs w:val="24"/>
          <w:lang w:val="en-US"/>
        </w:rPr>
        <w:t>et al</w:t>
      </w:r>
      <w:r w:rsidR="00AD693F" w:rsidRPr="00150FD8">
        <w:rPr>
          <w:i/>
          <w:spacing w:val="-3"/>
          <w:sz w:val="24"/>
          <w:szCs w:val="24"/>
          <w:lang w:val="en-US"/>
        </w:rPr>
        <w:t>.</w:t>
      </w:r>
      <w:r w:rsidRPr="00150FD8">
        <w:rPr>
          <w:spacing w:val="-3"/>
          <w:sz w:val="24"/>
          <w:szCs w:val="24"/>
          <w:lang w:val="en-US"/>
        </w:rPr>
        <w:t xml:space="preserve"> </w:t>
      </w:r>
      <w:r w:rsidR="00F0237B" w:rsidRPr="00150FD8">
        <w:rPr>
          <w:spacing w:val="-3"/>
          <w:sz w:val="24"/>
          <w:szCs w:val="24"/>
          <w:lang w:val="en-US"/>
        </w:rPr>
        <w:t>(</w:t>
      </w:r>
      <w:r w:rsidRPr="00150FD8">
        <w:rPr>
          <w:spacing w:val="-3"/>
          <w:sz w:val="24"/>
          <w:szCs w:val="24"/>
          <w:lang w:val="en-US"/>
        </w:rPr>
        <w:t>2015</w:t>
      </w:r>
      <w:r w:rsidR="00F0237B" w:rsidRPr="00150FD8">
        <w:rPr>
          <w:spacing w:val="-3"/>
          <w:sz w:val="24"/>
          <w:szCs w:val="24"/>
          <w:lang w:val="en-US"/>
        </w:rPr>
        <w:t>), “</w:t>
      </w:r>
      <w:r w:rsidR="00580F1B" w:rsidRPr="00150FD8">
        <w:rPr>
          <w:spacing w:val="-3"/>
          <w:sz w:val="24"/>
          <w:szCs w:val="24"/>
          <w:lang w:val="en-US"/>
        </w:rPr>
        <w:t>Financial stability and the Trans-Pacific Partnership: Lessons fro</w:t>
      </w:r>
      <w:r w:rsidR="00B22636" w:rsidRPr="00150FD8">
        <w:rPr>
          <w:spacing w:val="-3"/>
          <w:sz w:val="24"/>
          <w:szCs w:val="24"/>
          <w:lang w:val="en-US"/>
        </w:rPr>
        <w:t>m</w:t>
      </w:r>
      <w:r w:rsidR="00580F1B" w:rsidRPr="00150FD8">
        <w:rPr>
          <w:spacing w:val="-3"/>
          <w:sz w:val="24"/>
          <w:szCs w:val="24"/>
          <w:lang w:val="en-US"/>
        </w:rPr>
        <w:t xml:space="preserve"> Chile and Malasia”, </w:t>
      </w:r>
      <w:r w:rsidR="00580F1B" w:rsidRPr="00150FD8">
        <w:rPr>
          <w:i/>
          <w:spacing w:val="-3"/>
          <w:sz w:val="24"/>
          <w:szCs w:val="24"/>
          <w:lang w:val="en-US"/>
        </w:rPr>
        <w:t>Global Policy,</w:t>
      </w:r>
      <w:r w:rsidR="00B22636" w:rsidRPr="00150FD8">
        <w:rPr>
          <w:i/>
          <w:spacing w:val="-3"/>
          <w:sz w:val="24"/>
          <w:szCs w:val="24"/>
          <w:lang w:val="en-US"/>
        </w:rPr>
        <w:t xml:space="preserve"> </w:t>
      </w:r>
      <w:r w:rsidR="00345266" w:rsidRPr="00150FD8">
        <w:rPr>
          <w:spacing w:val="-3"/>
          <w:sz w:val="24"/>
          <w:szCs w:val="24"/>
          <w:lang w:val="en-US"/>
        </w:rPr>
        <w:t>noviembre</w:t>
      </w:r>
      <w:r w:rsidR="00580F1B" w:rsidRPr="00150FD8">
        <w:rPr>
          <w:spacing w:val="-3"/>
          <w:sz w:val="24"/>
          <w:szCs w:val="24"/>
          <w:lang w:val="en-US"/>
        </w:rPr>
        <w:t>.</w:t>
      </w:r>
    </w:p>
    <w:p w14:paraId="6CB109C8" w14:textId="0896E1EF" w:rsidR="00D414E5" w:rsidRPr="006460D3" w:rsidRDefault="002831EA" w:rsidP="00D414E5">
      <w:pPr>
        <w:tabs>
          <w:tab w:val="left" w:pos="-720"/>
        </w:tabs>
        <w:ind w:left="720" w:hanging="720"/>
        <w:jc w:val="both"/>
        <w:rPr>
          <w:spacing w:val="-3"/>
          <w:sz w:val="24"/>
          <w:szCs w:val="24"/>
          <w:lang w:val="en-US"/>
        </w:rPr>
      </w:pPr>
      <w:r w:rsidRPr="00150FD8">
        <w:rPr>
          <w:spacing w:val="-3"/>
          <w:sz w:val="24"/>
          <w:szCs w:val="24"/>
          <w:lang w:val="en-US"/>
        </w:rPr>
        <w:t xml:space="preserve">Frenkel, R. </w:t>
      </w:r>
      <w:r w:rsidR="00E027E1" w:rsidRPr="00150FD8">
        <w:rPr>
          <w:spacing w:val="-3"/>
          <w:sz w:val="24"/>
          <w:szCs w:val="24"/>
          <w:lang w:val="en-US"/>
        </w:rPr>
        <w:t>y</w:t>
      </w:r>
      <w:r w:rsidRPr="00150FD8">
        <w:rPr>
          <w:spacing w:val="-3"/>
          <w:sz w:val="24"/>
          <w:szCs w:val="24"/>
          <w:lang w:val="en-US"/>
        </w:rPr>
        <w:t xml:space="preserve"> M. Rapetti (2011), “Exchange rate regimes in Latin America”, </w:t>
      </w:r>
      <w:r w:rsidR="00B22636" w:rsidRPr="00150FD8">
        <w:rPr>
          <w:spacing w:val="-3"/>
          <w:sz w:val="24"/>
          <w:szCs w:val="24"/>
          <w:lang w:val="en-US"/>
        </w:rPr>
        <w:t>e</w:t>
      </w:r>
      <w:r w:rsidRPr="00150FD8">
        <w:rPr>
          <w:spacing w:val="-3"/>
          <w:sz w:val="24"/>
          <w:szCs w:val="24"/>
          <w:lang w:val="en-US"/>
        </w:rPr>
        <w:t xml:space="preserve">n </w:t>
      </w:r>
      <w:r w:rsidR="00D414E5">
        <w:rPr>
          <w:spacing w:val="-3"/>
          <w:sz w:val="24"/>
          <w:szCs w:val="24"/>
          <w:lang w:val="en-US"/>
        </w:rPr>
        <w:t>J.A. Ocampo</w:t>
      </w:r>
      <w:r w:rsidR="00D414E5" w:rsidRPr="006460D3">
        <w:rPr>
          <w:spacing w:val="-3"/>
          <w:sz w:val="24"/>
          <w:szCs w:val="24"/>
          <w:lang w:val="en-US"/>
        </w:rPr>
        <w:t xml:space="preserve">  y J. Ros (2011), eds., </w:t>
      </w:r>
      <w:r w:rsidR="00D414E5" w:rsidRPr="006460D3">
        <w:rPr>
          <w:i/>
          <w:iCs/>
          <w:spacing w:val="-3"/>
          <w:sz w:val="24"/>
          <w:szCs w:val="24"/>
          <w:lang w:val="en-US"/>
        </w:rPr>
        <w:t>The Oxford Handbook of Latin American Economics,</w:t>
      </w:r>
      <w:r w:rsidR="00D414E5" w:rsidRPr="006460D3">
        <w:rPr>
          <w:spacing w:val="-3"/>
          <w:sz w:val="24"/>
          <w:szCs w:val="24"/>
          <w:lang w:val="en-US"/>
        </w:rPr>
        <w:t xml:space="preserve"> Oxford University Press,  Nueva York.</w:t>
      </w:r>
    </w:p>
    <w:p w14:paraId="0EFFBEF7" w14:textId="64802206" w:rsidR="002831EA" w:rsidRPr="00150FD8" w:rsidRDefault="002831EA" w:rsidP="008226EA">
      <w:pPr>
        <w:tabs>
          <w:tab w:val="left" w:pos="-720"/>
        </w:tabs>
        <w:suppressAutoHyphens/>
        <w:ind w:left="720" w:hanging="720"/>
        <w:jc w:val="both"/>
        <w:rPr>
          <w:spacing w:val="-3"/>
          <w:sz w:val="24"/>
          <w:szCs w:val="24"/>
          <w:lang w:val="en-US"/>
        </w:rPr>
      </w:pPr>
      <w:r w:rsidRPr="00150FD8">
        <w:rPr>
          <w:sz w:val="24"/>
          <w:szCs w:val="24"/>
          <w:lang w:val="en-US"/>
        </w:rPr>
        <w:t xml:space="preserve">Magud, N. </w:t>
      </w:r>
      <w:r w:rsidR="00E027E1" w:rsidRPr="00150FD8">
        <w:rPr>
          <w:sz w:val="24"/>
          <w:szCs w:val="24"/>
          <w:lang w:val="en-US"/>
        </w:rPr>
        <w:t>y</w:t>
      </w:r>
      <w:r w:rsidRPr="00150FD8">
        <w:rPr>
          <w:sz w:val="24"/>
          <w:szCs w:val="24"/>
          <w:lang w:val="en-US"/>
        </w:rPr>
        <w:t xml:space="preserve"> C. Reinhart (2007), “Capital controls: an evaluation”, </w:t>
      </w:r>
      <w:r w:rsidR="00B22636" w:rsidRPr="00150FD8">
        <w:rPr>
          <w:sz w:val="24"/>
          <w:szCs w:val="24"/>
          <w:lang w:val="en-US"/>
        </w:rPr>
        <w:t>e</w:t>
      </w:r>
      <w:r w:rsidRPr="00150FD8">
        <w:rPr>
          <w:sz w:val="24"/>
          <w:szCs w:val="24"/>
          <w:lang w:val="en-US"/>
        </w:rPr>
        <w:t xml:space="preserve">n S. Edwards (ed.), </w:t>
      </w:r>
      <w:r w:rsidRPr="00150FD8">
        <w:rPr>
          <w:i/>
          <w:iCs/>
          <w:sz w:val="24"/>
          <w:szCs w:val="24"/>
          <w:lang w:val="en-US"/>
        </w:rPr>
        <w:t>Capital controls and capital flows in emerging economies: policies, practices and consequences</w:t>
      </w:r>
      <w:r w:rsidRPr="00150FD8">
        <w:rPr>
          <w:sz w:val="24"/>
          <w:szCs w:val="24"/>
          <w:lang w:val="en-US"/>
        </w:rPr>
        <w:t>, University of Chicago Press, Chicago, pp. 645-74.</w:t>
      </w:r>
    </w:p>
    <w:p w14:paraId="5361674F" w14:textId="77777777" w:rsidR="000404B6" w:rsidRPr="00D068A6" w:rsidRDefault="007665B4" w:rsidP="008226EA">
      <w:pPr>
        <w:jc w:val="both"/>
        <w:rPr>
          <w:sz w:val="24"/>
          <w:szCs w:val="24"/>
          <w:lang w:val="es-PE"/>
        </w:rPr>
      </w:pPr>
      <w:r w:rsidRPr="00D068A6">
        <w:rPr>
          <w:sz w:val="24"/>
          <w:szCs w:val="24"/>
          <w:lang w:val="es-PE"/>
        </w:rPr>
        <w:t xml:space="preserve">IPOM,  </w:t>
      </w:r>
      <w:r w:rsidRPr="00D068A6">
        <w:rPr>
          <w:i/>
          <w:iCs/>
          <w:sz w:val="24"/>
          <w:szCs w:val="24"/>
          <w:lang w:val="es-PE"/>
        </w:rPr>
        <w:t>Informe de Política Monetaria,</w:t>
      </w:r>
      <w:r w:rsidRPr="00D068A6">
        <w:rPr>
          <w:iCs/>
          <w:sz w:val="24"/>
          <w:szCs w:val="24"/>
          <w:lang w:val="es-PE"/>
        </w:rPr>
        <w:t xml:space="preserve"> Banco Central de Chile</w:t>
      </w:r>
      <w:r w:rsidRPr="00D068A6">
        <w:rPr>
          <w:sz w:val="24"/>
          <w:szCs w:val="24"/>
          <w:lang w:val="es-PE"/>
        </w:rPr>
        <w:t xml:space="preserve">, </w:t>
      </w:r>
      <w:r w:rsidR="000404B6" w:rsidRPr="00D068A6">
        <w:rPr>
          <w:sz w:val="24"/>
          <w:szCs w:val="24"/>
          <w:lang w:val="es-PE"/>
        </w:rPr>
        <w:t>informes trimestrales</w:t>
      </w:r>
      <w:r w:rsidRPr="00D068A6">
        <w:rPr>
          <w:sz w:val="24"/>
          <w:szCs w:val="24"/>
          <w:lang w:val="es-PE"/>
        </w:rPr>
        <w:t xml:space="preserve">, </w:t>
      </w:r>
    </w:p>
    <w:p w14:paraId="1AD17857" w14:textId="5AC5123F" w:rsidR="007665B4" w:rsidRPr="00150FD8" w:rsidRDefault="007665B4" w:rsidP="008226EA">
      <w:pPr>
        <w:ind w:firstLine="708"/>
        <w:jc w:val="both"/>
        <w:rPr>
          <w:sz w:val="24"/>
          <w:szCs w:val="24"/>
          <w:lang w:val="en-US"/>
        </w:rPr>
      </w:pPr>
      <w:r w:rsidRPr="00150FD8">
        <w:rPr>
          <w:sz w:val="24"/>
          <w:szCs w:val="24"/>
          <w:lang w:val="en-US"/>
        </w:rPr>
        <w:t>Santiago.</w:t>
      </w:r>
    </w:p>
    <w:p w14:paraId="016A1999" w14:textId="77777777" w:rsidR="007665B4" w:rsidRPr="00150FD8" w:rsidRDefault="00EF12B4" w:rsidP="008226EA">
      <w:pPr>
        <w:jc w:val="both"/>
        <w:rPr>
          <w:sz w:val="24"/>
          <w:szCs w:val="24"/>
          <w:lang w:val="en-US"/>
        </w:rPr>
      </w:pPr>
      <w:r w:rsidRPr="00150FD8">
        <w:rPr>
          <w:sz w:val="24"/>
          <w:szCs w:val="24"/>
          <w:lang w:val="en-US"/>
        </w:rPr>
        <w:t xml:space="preserve">Korinek, A. (2011), “The new economics of prudential capital controls: A research </w:t>
      </w:r>
    </w:p>
    <w:p w14:paraId="0F903A18" w14:textId="18108C95" w:rsidR="002831EA" w:rsidRPr="003269D0" w:rsidRDefault="00EF12B4" w:rsidP="008226EA">
      <w:pPr>
        <w:ind w:firstLine="708"/>
        <w:jc w:val="both"/>
        <w:rPr>
          <w:sz w:val="24"/>
          <w:szCs w:val="24"/>
          <w:lang w:val="es-CL"/>
        </w:rPr>
      </w:pPr>
      <w:r w:rsidRPr="003269D0">
        <w:rPr>
          <w:sz w:val="24"/>
          <w:szCs w:val="24"/>
          <w:lang w:val="es-CL"/>
        </w:rPr>
        <w:t xml:space="preserve">agenda”, NBER, </w:t>
      </w:r>
      <w:r w:rsidR="00345266" w:rsidRPr="003269D0">
        <w:rPr>
          <w:sz w:val="24"/>
          <w:szCs w:val="24"/>
          <w:lang w:val="es-CL"/>
        </w:rPr>
        <w:t>noviembre</w:t>
      </w:r>
      <w:r w:rsidRPr="003269D0">
        <w:rPr>
          <w:sz w:val="24"/>
          <w:szCs w:val="24"/>
          <w:lang w:val="es-CL"/>
        </w:rPr>
        <w:t>.</w:t>
      </w:r>
    </w:p>
    <w:p w14:paraId="56B5FA8C" w14:textId="21F0B54B" w:rsidR="002831EA" w:rsidRPr="00D068A6" w:rsidRDefault="002831EA" w:rsidP="002B2131">
      <w:pPr>
        <w:jc w:val="both"/>
        <w:rPr>
          <w:sz w:val="24"/>
          <w:szCs w:val="24"/>
          <w:lang w:val="es-PE"/>
        </w:rPr>
      </w:pPr>
      <w:r w:rsidRPr="002B2131">
        <w:rPr>
          <w:sz w:val="24"/>
          <w:szCs w:val="24"/>
          <w:lang w:val="es-CL"/>
        </w:rPr>
        <w:t>Ocampo, J.A. (2011), “Macroeconom</w:t>
      </w:r>
      <w:r w:rsidR="002B2131" w:rsidRPr="002B2131">
        <w:rPr>
          <w:sz w:val="24"/>
          <w:szCs w:val="24"/>
          <w:lang w:val="es-CL"/>
        </w:rPr>
        <w:t>ía</w:t>
      </w:r>
      <w:r w:rsidRPr="002B2131">
        <w:rPr>
          <w:sz w:val="24"/>
          <w:szCs w:val="24"/>
          <w:lang w:val="es-CL"/>
        </w:rPr>
        <w:t xml:space="preserve"> </w:t>
      </w:r>
      <w:r w:rsidR="002B2131" w:rsidRPr="002B2131">
        <w:rPr>
          <w:sz w:val="24"/>
          <w:szCs w:val="24"/>
          <w:lang w:val="es-CL"/>
        </w:rPr>
        <w:t>para el desarrollo</w:t>
      </w:r>
      <w:r w:rsidRPr="002B2131">
        <w:rPr>
          <w:sz w:val="24"/>
          <w:szCs w:val="24"/>
          <w:lang w:val="es-CL"/>
        </w:rPr>
        <w:t xml:space="preserve">: </w:t>
      </w:r>
      <w:r w:rsidR="002B2131" w:rsidRPr="002B2131">
        <w:rPr>
          <w:sz w:val="24"/>
          <w:szCs w:val="24"/>
          <w:lang w:val="es-CL"/>
        </w:rPr>
        <w:t>pol</w:t>
      </w:r>
      <w:r w:rsidR="002B2131">
        <w:rPr>
          <w:sz w:val="24"/>
          <w:szCs w:val="24"/>
          <w:lang w:val="es-CL"/>
        </w:rPr>
        <w:t>íticas contracíclicas y transformación productiva</w:t>
      </w:r>
      <w:r w:rsidRPr="00D068A6">
        <w:rPr>
          <w:sz w:val="24"/>
          <w:szCs w:val="24"/>
          <w:lang w:val="es-PE"/>
        </w:rPr>
        <w:t xml:space="preserve">”, </w:t>
      </w:r>
      <w:r w:rsidR="00491F05" w:rsidRPr="00D068A6">
        <w:rPr>
          <w:i/>
          <w:sz w:val="24"/>
          <w:szCs w:val="24"/>
          <w:lang w:val="es-PE"/>
        </w:rPr>
        <w:t xml:space="preserve">Revista </w:t>
      </w:r>
      <w:r w:rsidRPr="00D068A6">
        <w:rPr>
          <w:i/>
          <w:iCs/>
          <w:sz w:val="24"/>
          <w:szCs w:val="24"/>
          <w:lang w:val="es-PE"/>
        </w:rPr>
        <w:t xml:space="preserve">CEPAL, </w:t>
      </w:r>
      <w:r w:rsidRPr="00D068A6">
        <w:rPr>
          <w:sz w:val="24"/>
          <w:szCs w:val="24"/>
          <w:lang w:val="es-PE"/>
        </w:rPr>
        <w:t xml:space="preserve">No. 104, </w:t>
      </w:r>
      <w:r w:rsidR="00345266" w:rsidRPr="00D068A6">
        <w:rPr>
          <w:sz w:val="24"/>
          <w:szCs w:val="24"/>
          <w:lang w:val="es-PE"/>
        </w:rPr>
        <w:t>agosto</w:t>
      </w:r>
      <w:r w:rsidRPr="00D068A6">
        <w:rPr>
          <w:sz w:val="24"/>
          <w:szCs w:val="24"/>
          <w:lang w:val="es-PE"/>
        </w:rPr>
        <w:t>.</w:t>
      </w:r>
    </w:p>
    <w:p w14:paraId="72373D5C" w14:textId="6353C6B8" w:rsidR="002831EA" w:rsidRPr="006460D3" w:rsidRDefault="002831EA" w:rsidP="00D80A4D">
      <w:pPr>
        <w:jc w:val="both"/>
        <w:outlineLvl w:val="0"/>
        <w:rPr>
          <w:sz w:val="24"/>
          <w:szCs w:val="24"/>
          <w:lang w:val="en-US"/>
        </w:rPr>
      </w:pPr>
      <w:r w:rsidRPr="006460D3">
        <w:rPr>
          <w:sz w:val="24"/>
          <w:szCs w:val="24"/>
          <w:lang w:val="en-US"/>
        </w:rPr>
        <w:t>PROCHILE (2016),</w:t>
      </w:r>
      <w:r w:rsidR="00912C52" w:rsidRPr="006460D3">
        <w:rPr>
          <w:sz w:val="24"/>
          <w:szCs w:val="24"/>
          <w:lang w:val="en-US"/>
        </w:rPr>
        <w:t xml:space="preserve"> </w:t>
      </w:r>
      <w:hyperlink r:id="rId9" w:history="1">
        <w:r w:rsidR="00491F05" w:rsidRPr="006460D3">
          <w:rPr>
            <w:rStyle w:val="Hipervnculo"/>
            <w:sz w:val="24"/>
            <w:szCs w:val="24"/>
            <w:lang w:val="en-US"/>
          </w:rPr>
          <w:t>http://www.prochile.gob.cl/wp-content/uploads/</w:t>
        </w:r>
      </w:hyperlink>
    </w:p>
    <w:p w14:paraId="34887F4A" w14:textId="10F68690" w:rsidR="0091399F" w:rsidRDefault="007F5D32" w:rsidP="00D80A4D">
      <w:pPr>
        <w:jc w:val="both"/>
        <w:outlineLvl w:val="0"/>
        <w:rPr>
          <w:sz w:val="24"/>
          <w:szCs w:val="24"/>
          <w:lang w:val="es-PE"/>
        </w:rPr>
      </w:pPr>
      <w:r>
        <w:rPr>
          <w:sz w:val="24"/>
          <w:szCs w:val="24"/>
          <w:lang w:val="es-PE"/>
        </w:rPr>
        <w:t>Rodríguez, J., A. Vega,</w:t>
      </w:r>
      <w:r w:rsidR="0091399F">
        <w:rPr>
          <w:sz w:val="24"/>
          <w:szCs w:val="24"/>
          <w:lang w:val="es-PE"/>
        </w:rPr>
        <w:t xml:space="preserve"> J. Chamorro y M. Acevedo (2015), “Evolución, administración e</w:t>
      </w:r>
      <w:r w:rsidR="00DC3972">
        <w:rPr>
          <w:sz w:val="24"/>
          <w:szCs w:val="24"/>
          <w:lang w:val="es-PE"/>
        </w:rPr>
        <w:t xml:space="preserve"> </w:t>
      </w:r>
    </w:p>
    <w:p w14:paraId="7F388A18" w14:textId="7C575D33" w:rsidR="007F5D32" w:rsidRDefault="0091399F" w:rsidP="0091399F">
      <w:pPr>
        <w:ind w:firstLine="708"/>
        <w:jc w:val="both"/>
        <w:rPr>
          <w:sz w:val="24"/>
          <w:szCs w:val="24"/>
          <w:lang w:val="es-PE"/>
        </w:rPr>
      </w:pPr>
      <w:r>
        <w:rPr>
          <w:sz w:val="24"/>
          <w:szCs w:val="24"/>
          <w:lang w:val="es-PE"/>
        </w:rPr>
        <w:t xml:space="preserve">impacto fiscal de los ingresos del cobre en Chile”, </w:t>
      </w:r>
      <w:r w:rsidRPr="0091399F">
        <w:rPr>
          <w:i/>
          <w:sz w:val="24"/>
          <w:szCs w:val="24"/>
          <w:lang w:val="es-PE"/>
        </w:rPr>
        <w:t>Estudios de Finanzas Públicas</w:t>
      </w:r>
      <w:r>
        <w:rPr>
          <w:sz w:val="24"/>
          <w:szCs w:val="24"/>
          <w:lang w:val="es-PE"/>
        </w:rPr>
        <w:t>, No</w:t>
      </w:r>
      <w:r>
        <w:rPr>
          <w:sz w:val="24"/>
          <w:szCs w:val="24"/>
          <w:lang w:val="es-PE"/>
        </w:rPr>
        <w:tab/>
        <w:t>23, DIPRES, junio.</w:t>
      </w:r>
      <w:r w:rsidR="007F5D32">
        <w:rPr>
          <w:sz w:val="24"/>
          <w:szCs w:val="24"/>
          <w:lang w:val="es-PE"/>
        </w:rPr>
        <w:t xml:space="preserve"> </w:t>
      </w:r>
    </w:p>
    <w:p w14:paraId="7CFB7F39" w14:textId="51D646E4" w:rsidR="007665B4" w:rsidRPr="001B3003" w:rsidRDefault="002831EA" w:rsidP="008226EA">
      <w:pPr>
        <w:jc w:val="both"/>
        <w:rPr>
          <w:sz w:val="24"/>
          <w:szCs w:val="24"/>
          <w:lang w:val="en-US"/>
        </w:rPr>
      </w:pPr>
      <w:r w:rsidRPr="001B3003">
        <w:rPr>
          <w:sz w:val="24"/>
          <w:szCs w:val="24"/>
          <w:lang w:val="en-US"/>
        </w:rPr>
        <w:t xml:space="preserve">Rodrik, D. </w:t>
      </w:r>
      <w:r w:rsidR="008226EA" w:rsidRPr="001B3003">
        <w:rPr>
          <w:sz w:val="24"/>
          <w:szCs w:val="24"/>
          <w:lang w:val="en-US"/>
        </w:rPr>
        <w:t xml:space="preserve">(2015), </w:t>
      </w:r>
      <w:r w:rsidR="009865CC" w:rsidRPr="00973704">
        <w:rPr>
          <w:i/>
          <w:sz w:val="24"/>
          <w:szCs w:val="24"/>
          <w:lang w:val="en-US"/>
        </w:rPr>
        <w:t>Economics rules,</w:t>
      </w:r>
      <w:r w:rsidR="009865CC" w:rsidRPr="001B3003">
        <w:rPr>
          <w:sz w:val="24"/>
          <w:szCs w:val="24"/>
          <w:lang w:val="en-US"/>
        </w:rPr>
        <w:t xml:space="preserve"> Norton, Nueva York.</w:t>
      </w:r>
    </w:p>
    <w:p w14:paraId="18C2A59D" w14:textId="0637F7A8" w:rsidR="008226EA" w:rsidRPr="001B3003" w:rsidRDefault="00A75913" w:rsidP="00D80A4D">
      <w:pPr>
        <w:shd w:val="clear" w:color="auto" w:fill="FFFFFF"/>
        <w:jc w:val="both"/>
        <w:outlineLvl w:val="0"/>
        <w:rPr>
          <w:color w:val="222222"/>
          <w:sz w:val="24"/>
          <w:szCs w:val="24"/>
          <w:lang w:val="en-US"/>
        </w:rPr>
      </w:pPr>
      <w:r w:rsidRPr="001B3003">
        <w:rPr>
          <w:sz w:val="24"/>
          <w:szCs w:val="24"/>
          <w:lang w:val="en-US"/>
        </w:rPr>
        <w:t xml:space="preserve">SBIF (2016), </w:t>
      </w:r>
      <w:hyperlink r:id="rId10" w:history="1">
        <w:r w:rsidR="008226EA" w:rsidRPr="001B3003">
          <w:rPr>
            <w:rStyle w:val="Hipervnculo"/>
            <w:sz w:val="24"/>
            <w:szCs w:val="24"/>
            <w:lang w:val="en-US"/>
          </w:rPr>
          <w:t>https://www.sbif.cl/sbifweb3/internet/archivos/publicacion_10992.pdf</w:t>
        </w:r>
      </w:hyperlink>
    </w:p>
    <w:p w14:paraId="0EFB4575" w14:textId="7B084BEB" w:rsidR="002831EA" w:rsidRPr="00150FD8" w:rsidRDefault="002831EA" w:rsidP="008226EA">
      <w:pPr>
        <w:tabs>
          <w:tab w:val="left" w:pos="-720"/>
        </w:tabs>
        <w:suppressAutoHyphens/>
        <w:ind w:left="720" w:hanging="720"/>
        <w:jc w:val="both"/>
        <w:rPr>
          <w:sz w:val="24"/>
          <w:szCs w:val="24"/>
          <w:lang w:val="en-US"/>
        </w:rPr>
      </w:pPr>
      <w:r w:rsidRPr="00150FD8">
        <w:rPr>
          <w:spacing w:val="-3"/>
          <w:sz w:val="24"/>
          <w:szCs w:val="24"/>
          <w:lang w:val="en-US"/>
        </w:rPr>
        <w:t>Williamson, J.</w:t>
      </w:r>
      <w:r w:rsidRPr="00150FD8">
        <w:rPr>
          <w:sz w:val="24"/>
          <w:szCs w:val="24"/>
          <w:lang w:val="en-US"/>
        </w:rPr>
        <w:t xml:space="preserve"> (2008), “Do development considerations matter for exchange rate policy?”, </w:t>
      </w:r>
      <w:r w:rsidR="00345266" w:rsidRPr="00150FD8">
        <w:rPr>
          <w:sz w:val="24"/>
          <w:szCs w:val="24"/>
          <w:lang w:val="en-US"/>
        </w:rPr>
        <w:t xml:space="preserve"> </w:t>
      </w:r>
      <w:r w:rsidR="000404B6" w:rsidRPr="00150FD8">
        <w:rPr>
          <w:sz w:val="24"/>
          <w:szCs w:val="24"/>
          <w:lang w:val="en-US"/>
        </w:rPr>
        <w:t>e</w:t>
      </w:r>
      <w:r w:rsidRPr="00150FD8">
        <w:rPr>
          <w:sz w:val="24"/>
          <w:szCs w:val="24"/>
          <w:lang w:val="en-US"/>
        </w:rPr>
        <w:t>n</w:t>
      </w:r>
      <w:r w:rsidR="00345266" w:rsidRPr="00150FD8">
        <w:rPr>
          <w:sz w:val="24"/>
          <w:szCs w:val="24"/>
          <w:lang w:val="en-US"/>
        </w:rPr>
        <w:t xml:space="preserve"> </w:t>
      </w:r>
      <w:r w:rsidRPr="00150FD8">
        <w:rPr>
          <w:sz w:val="24"/>
          <w:szCs w:val="24"/>
          <w:lang w:val="en-US"/>
        </w:rPr>
        <w:t xml:space="preserve">K. Cowan </w:t>
      </w:r>
      <w:r w:rsidR="00345266" w:rsidRPr="00150FD8">
        <w:rPr>
          <w:sz w:val="24"/>
          <w:szCs w:val="24"/>
          <w:lang w:val="en-US"/>
        </w:rPr>
        <w:t>y</w:t>
      </w:r>
      <w:r w:rsidRPr="00150FD8">
        <w:rPr>
          <w:sz w:val="24"/>
          <w:szCs w:val="24"/>
          <w:lang w:val="en-US"/>
        </w:rPr>
        <w:t xml:space="preserve"> S. Edwards (eds.), </w:t>
      </w:r>
      <w:r w:rsidRPr="00150FD8">
        <w:rPr>
          <w:i/>
          <w:sz w:val="24"/>
          <w:szCs w:val="24"/>
          <w:lang w:val="en-US"/>
        </w:rPr>
        <w:t>Current account and external financing</w:t>
      </w:r>
      <w:r w:rsidRPr="00150FD8">
        <w:rPr>
          <w:sz w:val="24"/>
          <w:szCs w:val="24"/>
          <w:lang w:val="en-US"/>
        </w:rPr>
        <w:t>,</w:t>
      </w:r>
      <w:r w:rsidR="00345266" w:rsidRPr="00150FD8">
        <w:rPr>
          <w:sz w:val="24"/>
          <w:szCs w:val="24"/>
          <w:lang w:val="en-US"/>
        </w:rPr>
        <w:t xml:space="preserve"> </w:t>
      </w:r>
      <w:r w:rsidRPr="00150FD8">
        <w:rPr>
          <w:sz w:val="24"/>
          <w:szCs w:val="24"/>
          <w:lang w:val="en-US"/>
        </w:rPr>
        <w:t>Banco Central de Chile, Santiago.</w:t>
      </w:r>
    </w:p>
    <w:p w14:paraId="03637C85" w14:textId="5F7EE476" w:rsidR="0052765F" w:rsidRPr="006460D3" w:rsidRDefault="0052765F" w:rsidP="00D80A4D">
      <w:pPr>
        <w:jc w:val="both"/>
        <w:outlineLvl w:val="0"/>
        <w:rPr>
          <w:sz w:val="24"/>
          <w:szCs w:val="24"/>
          <w:lang w:val="en-US"/>
        </w:rPr>
      </w:pPr>
      <w:r w:rsidRPr="006460D3">
        <w:rPr>
          <w:sz w:val="24"/>
          <w:szCs w:val="24"/>
          <w:lang w:val="en-US"/>
        </w:rPr>
        <w:t>WTO</w:t>
      </w:r>
      <w:r w:rsidR="00275725" w:rsidRPr="006460D3">
        <w:rPr>
          <w:sz w:val="24"/>
          <w:szCs w:val="24"/>
          <w:lang w:val="en-US"/>
        </w:rPr>
        <w:t xml:space="preserve"> </w:t>
      </w:r>
      <w:r w:rsidR="006817C3" w:rsidRPr="006460D3">
        <w:rPr>
          <w:sz w:val="24"/>
          <w:szCs w:val="24"/>
          <w:lang w:val="en-US"/>
        </w:rPr>
        <w:t xml:space="preserve">(2016), </w:t>
      </w:r>
      <w:r w:rsidRPr="006460D3">
        <w:rPr>
          <w:sz w:val="24"/>
          <w:szCs w:val="24"/>
          <w:lang w:val="en-US"/>
        </w:rPr>
        <w:t xml:space="preserve"> </w:t>
      </w:r>
      <w:hyperlink r:id="rId11" w:history="1">
        <w:r w:rsidRPr="006460D3">
          <w:rPr>
            <w:rStyle w:val="Hipervnculo"/>
            <w:sz w:val="24"/>
            <w:szCs w:val="24"/>
            <w:lang w:val="en-US"/>
          </w:rPr>
          <w:t>https://www.wto.org/english/news_e/pres16_e/pr768_e.htm</w:t>
        </w:r>
      </w:hyperlink>
      <w:r w:rsidRPr="006460D3">
        <w:rPr>
          <w:sz w:val="24"/>
          <w:szCs w:val="24"/>
          <w:lang w:val="en-US"/>
        </w:rPr>
        <w:t xml:space="preserve"> [13-05-2015]</w:t>
      </w:r>
    </w:p>
    <w:tbl>
      <w:tblPr>
        <w:tblW w:w="12123" w:type="dxa"/>
        <w:tblInd w:w="-1452" w:type="dxa"/>
        <w:tblLook w:val="04A0" w:firstRow="1" w:lastRow="0" w:firstColumn="1" w:lastColumn="0" w:noHBand="0" w:noVBand="1"/>
      </w:tblPr>
      <w:tblGrid>
        <w:gridCol w:w="12123"/>
      </w:tblGrid>
      <w:tr w:rsidR="0052765F" w:rsidRPr="0061551C" w14:paraId="6E9DBACE" w14:textId="77777777" w:rsidTr="003A3BF0">
        <w:trPr>
          <w:trHeight w:val="300"/>
        </w:trPr>
        <w:tc>
          <w:tcPr>
            <w:tcW w:w="12123" w:type="dxa"/>
            <w:tcBorders>
              <w:top w:val="nil"/>
              <w:left w:val="nil"/>
              <w:bottom w:val="nil"/>
              <w:right w:val="nil"/>
            </w:tcBorders>
            <w:shd w:val="clear" w:color="auto" w:fill="auto"/>
            <w:noWrap/>
            <w:vAlign w:val="center"/>
            <w:hideMark/>
          </w:tcPr>
          <w:p w14:paraId="61FE29FD" w14:textId="7178294E" w:rsidR="0052765F" w:rsidRPr="006460D3" w:rsidRDefault="002831EA" w:rsidP="00EE6258">
            <w:pPr>
              <w:jc w:val="center"/>
              <w:rPr>
                <w:rFonts w:eastAsia="Times New Roman"/>
                <w:sz w:val="24"/>
                <w:szCs w:val="24"/>
                <w:lang w:val="en-US"/>
              </w:rPr>
            </w:pPr>
            <w:r w:rsidRPr="006460D3">
              <w:rPr>
                <w:sz w:val="24"/>
                <w:szCs w:val="24"/>
                <w:lang w:val="en-US"/>
              </w:rPr>
              <w:t xml:space="preserve"> </w:t>
            </w:r>
          </w:p>
        </w:tc>
      </w:tr>
    </w:tbl>
    <w:p w14:paraId="2603F073" w14:textId="77777777" w:rsidR="00357368" w:rsidRPr="0013640E" w:rsidRDefault="00357368">
      <w:pPr>
        <w:rPr>
          <w:lang w:val="en-US"/>
        </w:rPr>
      </w:pPr>
    </w:p>
    <w:p w14:paraId="002C3F2D" w14:textId="77777777" w:rsidR="00357368" w:rsidRPr="0013640E" w:rsidRDefault="00357368">
      <w:pPr>
        <w:rPr>
          <w:lang w:val="en-US"/>
        </w:rPr>
      </w:pPr>
    </w:p>
    <w:p w14:paraId="3C805B31" w14:textId="77777777" w:rsidR="00357368" w:rsidRPr="0013640E" w:rsidRDefault="00357368">
      <w:pPr>
        <w:rPr>
          <w:lang w:val="en-US"/>
        </w:rPr>
      </w:pPr>
    </w:p>
    <w:tbl>
      <w:tblPr>
        <w:tblW w:w="11210" w:type="dxa"/>
        <w:tblInd w:w="-1452" w:type="dxa"/>
        <w:tblLook w:val="04A0" w:firstRow="1" w:lastRow="0" w:firstColumn="1" w:lastColumn="0" w:noHBand="0" w:noVBand="1"/>
      </w:tblPr>
      <w:tblGrid>
        <w:gridCol w:w="11210"/>
      </w:tblGrid>
      <w:tr w:rsidR="0052765F" w:rsidRPr="00D068A6" w14:paraId="0CBD7B5A" w14:textId="77777777" w:rsidTr="002C7444">
        <w:trPr>
          <w:trHeight w:val="278"/>
        </w:trPr>
        <w:tc>
          <w:tcPr>
            <w:tcW w:w="11210" w:type="dxa"/>
            <w:tcBorders>
              <w:top w:val="nil"/>
              <w:left w:val="nil"/>
              <w:bottom w:val="nil"/>
              <w:right w:val="nil"/>
            </w:tcBorders>
            <w:shd w:val="clear" w:color="auto" w:fill="auto"/>
            <w:noWrap/>
            <w:vAlign w:val="center"/>
            <w:hideMark/>
          </w:tcPr>
          <w:p w14:paraId="4FBC5761" w14:textId="77777777" w:rsidR="00491F05" w:rsidRPr="006460D3" w:rsidRDefault="00491F05" w:rsidP="001A3D67">
            <w:pPr>
              <w:jc w:val="center"/>
              <w:rPr>
                <w:rFonts w:eastAsia="Times New Roman"/>
                <w:sz w:val="24"/>
                <w:szCs w:val="24"/>
                <w:lang w:val="en-US"/>
              </w:rPr>
            </w:pPr>
          </w:p>
          <w:p w14:paraId="68DDF4C4" w14:textId="77777777" w:rsidR="00357368" w:rsidRPr="0013640E" w:rsidRDefault="00357368">
            <w:pPr>
              <w:rPr>
                <w:lang w:val="en-US"/>
              </w:rPr>
            </w:pPr>
          </w:p>
          <w:tbl>
            <w:tblPr>
              <w:tblW w:w="10731" w:type="dxa"/>
              <w:tblLook w:val="04A0" w:firstRow="1" w:lastRow="0" w:firstColumn="1" w:lastColumn="0" w:noHBand="0" w:noVBand="1"/>
            </w:tblPr>
            <w:tblGrid>
              <w:gridCol w:w="2043"/>
              <w:gridCol w:w="1403"/>
              <w:gridCol w:w="1531"/>
              <w:gridCol w:w="2042"/>
              <w:gridCol w:w="1464"/>
              <w:gridCol w:w="2248"/>
            </w:tblGrid>
            <w:tr w:rsidR="007A59FB" w:rsidRPr="00D068A6" w14:paraId="7BE6B973" w14:textId="77777777" w:rsidTr="002C7444">
              <w:trPr>
                <w:trHeight w:val="278"/>
              </w:trPr>
              <w:tc>
                <w:tcPr>
                  <w:tcW w:w="10731" w:type="dxa"/>
                  <w:gridSpan w:val="6"/>
                  <w:tcBorders>
                    <w:top w:val="nil"/>
                    <w:left w:val="nil"/>
                    <w:bottom w:val="nil"/>
                    <w:right w:val="nil"/>
                  </w:tcBorders>
                  <w:shd w:val="clear" w:color="auto" w:fill="auto"/>
                  <w:noWrap/>
                  <w:vAlign w:val="center"/>
                  <w:hideMark/>
                </w:tcPr>
                <w:p w14:paraId="21523791" w14:textId="77777777" w:rsidR="007A59FB" w:rsidRPr="006460D3" w:rsidRDefault="007A59FB" w:rsidP="007A59FB">
                  <w:pPr>
                    <w:jc w:val="center"/>
                    <w:rPr>
                      <w:rFonts w:eastAsia="Times New Roman"/>
                      <w:sz w:val="24"/>
                      <w:szCs w:val="24"/>
                      <w:lang w:val="en-US"/>
                    </w:rPr>
                  </w:pPr>
                </w:p>
                <w:p w14:paraId="6A2A68A0" w14:textId="77777777" w:rsidR="007A59FB" w:rsidRDefault="007A59FB" w:rsidP="007A59FB">
                  <w:pPr>
                    <w:jc w:val="center"/>
                    <w:rPr>
                      <w:rFonts w:eastAsia="Times New Roman"/>
                      <w:sz w:val="24"/>
                      <w:szCs w:val="24"/>
                      <w:lang w:val="en-US"/>
                    </w:rPr>
                  </w:pPr>
                </w:p>
                <w:p w14:paraId="77FCAFBE" w14:textId="77777777" w:rsidR="007A59FB" w:rsidRDefault="007A59FB" w:rsidP="007A59FB">
                  <w:pPr>
                    <w:jc w:val="center"/>
                    <w:rPr>
                      <w:rFonts w:eastAsia="Times New Roman"/>
                      <w:sz w:val="24"/>
                      <w:szCs w:val="24"/>
                      <w:lang w:val="en-US"/>
                    </w:rPr>
                  </w:pPr>
                </w:p>
                <w:p w14:paraId="33EF0243" w14:textId="77777777" w:rsidR="007A59FB" w:rsidRDefault="007A59FB" w:rsidP="007A59FB">
                  <w:pPr>
                    <w:jc w:val="center"/>
                    <w:rPr>
                      <w:rFonts w:eastAsia="Times New Roman"/>
                      <w:sz w:val="24"/>
                      <w:szCs w:val="24"/>
                      <w:lang w:val="en-US"/>
                    </w:rPr>
                  </w:pPr>
                </w:p>
                <w:p w14:paraId="23667DC1" w14:textId="77777777" w:rsidR="0005033C" w:rsidRDefault="0005033C" w:rsidP="007A59FB">
                  <w:pPr>
                    <w:jc w:val="center"/>
                    <w:rPr>
                      <w:rFonts w:eastAsia="Times New Roman"/>
                      <w:sz w:val="24"/>
                      <w:szCs w:val="24"/>
                      <w:lang w:val="en-US"/>
                    </w:rPr>
                  </w:pPr>
                </w:p>
                <w:p w14:paraId="701F4D55" w14:textId="77777777" w:rsidR="007A59FB" w:rsidRPr="00D068A6" w:rsidRDefault="007A59FB" w:rsidP="007A59FB">
                  <w:pPr>
                    <w:jc w:val="center"/>
                    <w:rPr>
                      <w:rFonts w:eastAsia="Times New Roman"/>
                      <w:b/>
                      <w:sz w:val="24"/>
                      <w:szCs w:val="24"/>
                      <w:lang w:val="es-PE"/>
                    </w:rPr>
                  </w:pPr>
                  <w:r w:rsidRPr="00D068A6">
                    <w:rPr>
                      <w:rFonts w:eastAsia="Times New Roman"/>
                      <w:b/>
                      <w:sz w:val="24"/>
                      <w:szCs w:val="24"/>
                      <w:lang w:val="es-PE"/>
                    </w:rPr>
                    <w:t>Cuadro 1. Exportaciones y resto del PIB en el crecimiento económico, 1974-2016</w:t>
                  </w:r>
                </w:p>
              </w:tc>
            </w:tr>
            <w:tr w:rsidR="007A59FB" w:rsidRPr="00D068A6" w14:paraId="23AB2B02" w14:textId="77777777" w:rsidTr="002C7444">
              <w:trPr>
                <w:trHeight w:val="278"/>
              </w:trPr>
              <w:tc>
                <w:tcPr>
                  <w:tcW w:w="10731" w:type="dxa"/>
                  <w:gridSpan w:val="6"/>
                  <w:tcBorders>
                    <w:top w:val="nil"/>
                    <w:left w:val="nil"/>
                    <w:bottom w:val="nil"/>
                    <w:right w:val="nil"/>
                  </w:tcBorders>
                  <w:shd w:val="clear" w:color="auto" w:fill="auto"/>
                  <w:noWrap/>
                  <w:vAlign w:val="center"/>
                  <w:hideMark/>
                </w:tcPr>
                <w:p w14:paraId="5D656F7B" w14:textId="77777777" w:rsidR="007A59FB" w:rsidRPr="00D068A6" w:rsidRDefault="007A59FB" w:rsidP="007A59FB">
                  <w:pPr>
                    <w:jc w:val="center"/>
                    <w:rPr>
                      <w:rFonts w:eastAsia="Times New Roman"/>
                      <w:lang w:val="es-PE"/>
                    </w:rPr>
                  </w:pPr>
                  <w:r w:rsidRPr="00D068A6">
                    <w:rPr>
                      <w:rFonts w:eastAsia="Times New Roman"/>
                      <w:lang w:val="es-PE"/>
                    </w:rPr>
                    <w:lastRenderedPageBreak/>
                    <w:t>(promedios anuales de tasas de variación, %)</w:t>
                  </w:r>
                </w:p>
                <w:p w14:paraId="1772A185" w14:textId="77777777" w:rsidR="007A59FB" w:rsidRPr="00D068A6" w:rsidRDefault="007A59FB" w:rsidP="007A59FB">
                  <w:pPr>
                    <w:jc w:val="center"/>
                    <w:rPr>
                      <w:rFonts w:eastAsia="Times New Roman"/>
                      <w:lang w:val="es-PE"/>
                    </w:rPr>
                  </w:pPr>
                </w:p>
              </w:tc>
            </w:tr>
            <w:tr w:rsidR="007A59FB" w:rsidRPr="00D068A6" w14:paraId="48F57386" w14:textId="77777777" w:rsidTr="002C7444">
              <w:trPr>
                <w:trHeight w:val="278"/>
              </w:trPr>
              <w:tc>
                <w:tcPr>
                  <w:tcW w:w="20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9DAE56" w14:textId="77777777" w:rsidR="007A59FB" w:rsidRPr="00D068A6" w:rsidRDefault="007A59FB" w:rsidP="007A59FB">
                  <w:pPr>
                    <w:jc w:val="center"/>
                    <w:rPr>
                      <w:rFonts w:eastAsia="Times New Roman"/>
                      <w:lang w:val="es-PE"/>
                    </w:rPr>
                  </w:pPr>
                  <w:r w:rsidRPr="00D068A6">
                    <w:rPr>
                      <w:rFonts w:eastAsia="Times New Roman"/>
                      <w:lang w:val="es-PE"/>
                    </w:rPr>
                    <w:t> </w:t>
                  </w:r>
                </w:p>
              </w:tc>
              <w:tc>
                <w:tcPr>
                  <w:tcW w:w="1403" w:type="dxa"/>
                  <w:tcBorders>
                    <w:top w:val="single" w:sz="4" w:space="0" w:color="auto"/>
                    <w:left w:val="nil"/>
                    <w:bottom w:val="single" w:sz="4" w:space="0" w:color="auto"/>
                    <w:right w:val="single" w:sz="4" w:space="0" w:color="auto"/>
                  </w:tcBorders>
                  <w:shd w:val="clear" w:color="000000" w:fill="D9D9D9"/>
                  <w:noWrap/>
                  <w:vAlign w:val="center"/>
                  <w:hideMark/>
                </w:tcPr>
                <w:p w14:paraId="54360570" w14:textId="77777777" w:rsidR="007A59FB" w:rsidRPr="00D068A6" w:rsidRDefault="007A59FB" w:rsidP="007A59FB">
                  <w:pPr>
                    <w:jc w:val="center"/>
                    <w:rPr>
                      <w:rFonts w:eastAsia="Times New Roman"/>
                      <w:lang w:val="es-PE"/>
                    </w:rPr>
                  </w:pPr>
                  <w:r w:rsidRPr="00D068A6">
                    <w:rPr>
                      <w:rFonts w:eastAsia="Times New Roman"/>
                      <w:lang w:val="es-PE"/>
                    </w:rPr>
                    <w:t>PIB</w:t>
                  </w:r>
                </w:p>
              </w:tc>
              <w:tc>
                <w:tcPr>
                  <w:tcW w:w="1531" w:type="dxa"/>
                  <w:tcBorders>
                    <w:top w:val="single" w:sz="4" w:space="0" w:color="auto"/>
                    <w:left w:val="nil"/>
                    <w:bottom w:val="single" w:sz="4" w:space="0" w:color="auto"/>
                    <w:right w:val="single" w:sz="4" w:space="0" w:color="auto"/>
                  </w:tcBorders>
                  <w:shd w:val="clear" w:color="000000" w:fill="D9D9D9"/>
                  <w:noWrap/>
                  <w:vAlign w:val="center"/>
                  <w:hideMark/>
                </w:tcPr>
                <w:p w14:paraId="377B7E9E" w14:textId="77777777" w:rsidR="007A59FB" w:rsidRPr="00D068A6" w:rsidRDefault="007A59FB" w:rsidP="007A59FB">
                  <w:pPr>
                    <w:jc w:val="center"/>
                    <w:rPr>
                      <w:rFonts w:eastAsia="Times New Roman"/>
                      <w:lang w:val="es-PE"/>
                    </w:rPr>
                  </w:pPr>
                  <w:r w:rsidRPr="00D068A6">
                    <w:rPr>
                      <w:rFonts w:eastAsia="Times New Roman"/>
                      <w:lang w:val="es-PE"/>
                    </w:rPr>
                    <w:t>Exportaciones</w:t>
                  </w:r>
                </w:p>
              </w:tc>
              <w:tc>
                <w:tcPr>
                  <w:tcW w:w="2042" w:type="dxa"/>
                  <w:tcBorders>
                    <w:top w:val="single" w:sz="4" w:space="0" w:color="auto"/>
                    <w:left w:val="nil"/>
                    <w:bottom w:val="single" w:sz="4" w:space="0" w:color="auto"/>
                    <w:right w:val="single" w:sz="4" w:space="0" w:color="auto"/>
                  </w:tcBorders>
                  <w:shd w:val="clear" w:color="000000" w:fill="D9D9D9"/>
                  <w:noWrap/>
                  <w:vAlign w:val="center"/>
                  <w:hideMark/>
                </w:tcPr>
                <w:p w14:paraId="17B54094" w14:textId="77777777" w:rsidR="007A59FB" w:rsidRPr="00D068A6" w:rsidRDefault="007A59FB" w:rsidP="007A59FB">
                  <w:pPr>
                    <w:jc w:val="center"/>
                    <w:rPr>
                      <w:rFonts w:eastAsia="Times New Roman"/>
                      <w:lang w:val="es-PE"/>
                    </w:rPr>
                  </w:pPr>
                  <w:r w:rsidRPr="00D068A6">
                    <w:rPr>
                      <w:rFonts w:eastAsia="Times New Roman"/>
                      <w:lang w:val="es-PE"/>
                    </w:rPr>
                    <w:t>PIB No-exportado*</w:t>
                  </w:r>
                </w:p>
              </w:tc>
              <w:tc>
                <w:tcPr>
                  <w:tcW w:w="1464" w:type="dxa"/>
                  <w:tcBorders>
                    <w:top w:val="single" w:sz="4" w:space="0" w:color="auto"/>
                    <w:left w:val="nil"/>
                    <w:bottom w:val="single" w:sz="4" w:space="0" w:color="auto"/>
                    <w:right w:val="single" w:sz="4" w:space="0" w:color="auto"/>
                  </w:tcBorders>
                  <w:shd w:val="clear" w:color="000000" w:fill="D9D9D9"/>
                  <w:noWrap/>
                  <w:vAlign w:val="center"/>
                  <w:hideMark/>
                </w:tcPr>
                <w:p w14:paraId="1F7B24B1" w14:textId="77777777" w:rsidR="007A59FB" w:rsidRPr="00D068A6" w:rsidRDefault="007A59FB" w:rsidP="007A59FB">
                  <w:pPr>
                    <w:jc w:val="center"/>
                    <w:rPr>
                      <w:rFonts w:eastAsia="Times New Roman"/>
                      <w:lang w:val="es-PE"/>
                    </w:rPr>
                  </w:pPr>
                  <w:r w:rsidRPr="00D068A6">
                    <w:rPr>
                      <w:rFonts w:eastAsia="Times New Roman"/>
                      <w:lang w:val="es-PE"/>
                    </w:rPr>
                    <w:t>PIB LA (19)</w:t>
                  </w:r>
                </w:p>
              </w:tc>
              <w:tc>
                <w:tcPr>
                  <w:tcW w:w="2248" w:type="dxa"/>
                  <w:tcBorders>
                    <w:top w:val="single" w:sz="4" w:space="0" w:color="auto"/>
                    <w:left w:val="nil"/>
                    <w:bottom w:val="single" w:sz="4" w:space="0" w:color="auto"/>
                    <w:right w:val="single" w:sz="4" w:space="0" w:color="auto"/>
                  </w:tcBorders>
                  <w:shd w:val="clear" w:color="000000" w:fill="D9D9D9"/>
                  <w:noWrap/>
                  <w:vAlign w:val="center"/>
                  <w:hideMark/>
                </w:tcPr>
                <w:p w14:paraId="523B533F" w14:textId="77777777" w:rsidR="007A59FB" w:rsidRPr="00D068A6" w:rsidRDefault="007A59FB" w:rsidP="007A59FB">
                  <w:pPr>
                    <w:jc w:val="center"/>
                    <w:rPr>
                      <w:rFonts w:eastAsia="Times New Roman"/>
                      <w:lang w:val="es-PE"/>
                    </w:rPr>
                  </w:pPr>
                  <w:r w:rsidRPr="00D068A6">
                    <w:rPr>
                      <w:rFonts w:eastAsia="Times New Roman"/>
                      <w:lang w:val="es-PE"/>
                    </w:rPr>
                    <w:t>PIB LA (18) sin Brasil</w:t>
                  </w:r>
                </w:p>
              </w:tc>
            </w:tr>
            <w:tr w:rsidR="007A59FB" w:rsidRPr="00D068A6" w14:paraId="44A31DE5" w14:textId="77777777" w:rsidTr="002C7444">
              <w:trPr>
                <w:trHeight w:val="372"/>
              </w:trPr>
              <w:tc>
                <w:tcPr>
                  <w:tcW w:w="2043" w:type="dxa"/>
                  <w:tcBorders>
                    <w:top w:val="nil"/>
                    <w:left w:val="single" w:sz="4" w:space="0" w:color="auto"/>
                    <w:bottom w:val="single" w:sz="4" w:space="0" w:color="auto"/>
                    <w:right w:val="single" w:sz="4" w:space="0" w:color="auto"/>
                  </w:tcBorders>
                  <w:shd w:val="clear" w:color="auto" w:fill="auto"/>
                  <w:noWrap/>
                  <w:vAlign w:val="center"/>
                  <w:hideMark/>
                </w:tcPr>
                <w:p w14:paraId="0B5DBB24" w14:textId="77777777" w:rsidR="007A59FB" w:rsidRPr="00D068A6" w:rsidRDefault="007A59FB" w:rsidP="007A59FB">
                  <w:pPr>
                    <w:jc w:val="center"/>
                    <w:rPr>
                      <w:rFonts w:eastAsia="Times New Roman"/>
                      <w:lang w:val="es-PE"/>
                    </w:rPr>
                  </w:pPr>
                  <w:r w:rsidRPr="00D068A6">
                    <w:rPr>
                      <w:rFonts w:eastAsia="Times New Roman"/>
                      <w:lang w:val="es-PE"/>
                    </w:rPr>
                    <w:t>1974-89</w:t>
                  </w:r>
                </w:p>
              </w:tc>
              <w:tc>
                <w:tcPr>
                  <w:tcW w:w="1403" w:type="dxa"/>
                  <w:tcBorders>
                    <w:top w:val="nil"/>
                    <w:left w:val="nil"/>
                    <w:bottom w:val="single" w:sz="4" w:space="0" w:color="auto"/>
                    <w:right w:val="single" w:sz="4" w:space="0" w:color="auto"/>
                  </w:tcBorders>
                  <w:shd w:val="clear" w:color="auto" w:fill="auto"/>
                  <w:noWrap/>
                  <w:vAlign w:val="center"/>
                  <w:hideMark/>
                </w:tcPr>
                <w:p w14:paraId="25E1174A" w14:textId="6DB1B9E4" w:rsidR="007A59FB" w:rsidRPr="00D068A6" w:rsidRDefault="00357368" w:rsidP="007A59FB">
                  <w:pPr>
                    <w:jc w:val="center"/>
                    <w:rPr>
                      <w:rFonts w:eastAsia="Times New Roman"/>
                      <w:lang w:val="es-PE"/>
                    </w:rPr>
                  </w:pPr>
                  <w:r>
                    <w:rPr>
                      <w:rFonts w:eastAsia="Times New Roman"/>
                      <w:lang w:val="es-PE"/>
                    </w:rPr>
                    <w:t>2,</w:t>
                  </w:r>
                  <w:r w:rsidR="007A59FB" w:rsidRPr="00D068A6">
                    <w:rPr>
                      <w:rFonts w:eastAsia="Times New Roman"/>
                      <w:lang w:val="es-PE"/>
                    </w:rPr>
                    <w:t>9</w:t>
                  </w:r>
                </w:p>
              </w:tc>
              <w:tc>
                <w:tcPr>
                  <w:tcW w:w="1531" w:type="dxa"/>
                  <w:tcBorders>
                    <w:top w:val="nil"/>
                    <w:left w:val="nil"/>
                    <w:bottom w:val="single" w:sz="4" w:space="0" w:color="auto"/>
                    <w:right w:val="single" w:sz="4" w:space="0" w:color="auto"/>
                  </w:tcBorders>
                  <w:shd w:val="clear" w:color="auto" w:fill="auto"/>
                  <w:noWrap/>
                  <w:vAlign w:val="center"/>
                  <w:hideMark/>
                </w:tcPr>
                <w:p w14:paraId="47474919" w14:textId="756677D1" w:rsidR="007A59FB" w:rsidRPr="00D068A6" w:rsidRDefault="00357368" w:rsidP="007A59FB">
                  <w:pPr>
                    <w:jc w:val="center"/>
                    <w:rPr>
                      <w:rFonts w:eastAsia="Times New Roman"/>
                      <w:lang w:val="es-PE"/>
                    </w:rPr>
                  </w:pPr>
                  <w:r>
                    <w:rPr>
                      <w:rFonts w:eastAsia="Times New Roman"/>
                      <w:lang w:val="es-PE"/>
                    </w:rPr>
                    <w:t>10,7 (1,</w:t>
                  </w:r>
                  <w:r w:rsidR="007A59FB" w:rsidRPr="00D068A6">
                    <w:rPr>
                      <w:rFonts w:eastAsia="Times New Roman"/>
                      <w:lang w:val="es-PE"/>
                    </w:rPr>
                    <w:t>6)</w:t>
                  </w:r>
                </w:p>
              </w:tc>
              <w:tc>
                <w:tcPr>
                  <w:tcW w:w="2042" w:type="dxa"/>
                  <w:tcBorders>
                    <w:top w:val="nil"/>
                    <w:left w:val="nil"/>
                    <w:bottom w:val="single" w:sz="4" w:space="0" w:color="auto"/>
                    <w:right w:val="single" w:sz="4" w:space="0" w:color="auto"/>
                  </w:tcBorders>
                  <w:shd w:val="clear" w:color="auto" w:fill="auto"/>
                  <w:noWrap/>
                  <w:vAlign w:val="center"/>
                  <w:hideMark/>
                </w:tcPr>
                <w:p w14:paraId="14CC2E69" w14:textId="563DBD7A" w:rsidR="007A59FB" w:rsidRPr="00D068A6" w:rsidRDefault="00357368" w:rsidP="007A59FB">
                  <w:pPr>
                    <w:jc w:val="center"/>
                    <w:rPr>
                      <w:rFonts w:eastAsia="Times New Roman"/>
                      <w:lang w:val="es-PE"/>
                    </w:rPr>
                  </w:pPr>
                  <w:r>
                    <w:rPr>
                      <w:rFonts w:eastAsia="Times New Roman"/>
                      <w:lang w:val="es-PE"/>
                    </w:rPr>
                    <w:t>1,6 (1,</w:t>
                  </w:r>
                  <w:r w:rsidR="007A59FB" w:rsidRPr="00D068A6">
                    <w:rPr>
                      <w:rFonts w:eastAsia="Times New Roman"/>
                      <w:lang w:val="es-PE"/>
                    </w:rPr>
                    <w:t>3)</w:t>
                  </w:r>
                </w:p>
              </w:tc>
              <w:tc>
                <w:tcPr>
                  <w:tcW w:w="1464" w:type="dxa"/>
                  <w:tcBorders>
                    <w:top w:val="nil"/>
                    <w:left w:val="nil"/>
                    <w:bottom w:val="single" w:sz="4" w:space="0" w:color="auto"/>
                    <w:right w:val="single" w:sz="4" w:space="0" w:color="auto"/>
                  </w:tcBorders>
                  <w:shd w:val="clear" w:color="auto" w:fill="auto"/>
                  <w:noWrap/>
                  <w:vAlign w:val="bottom"/>
                  <w:hideMark/>
                </w:tcPr>
                <w:p w14:paraId="781D1BF4" w14:textId="57B5B26A" w:rsidR="007A59FB" w:rsidRPr="00D068A6" w:rsidRDefault="00357368" w:rsidP="007A59FB">
                  <w:pPr>
                    <w:jc w:val="center"/>
                    <w:rPr>
                      <w:rFonts w:eastAsia="Times New Roman"/>
                      <w:color w:val="000000"/>
                      <w:lang w:val="es-PE"/>
                    </w:rPr>
                  </w:pPr>
                  <w:r>
                    <w:rPr>
                      <w:rFonts w:eastAsia="Times New Roman"/>
                      <w:color w:val="000000"/>
                      <w:lang w:val="es-PE"/>
                    </w:rPr>
                    <w:t>3,</w:t>
                  </w:r>
                  <w:r w:rsidR="007A59FB" w:rsidRPr="00D068A6">
                    <w:rPr>
                      <w:rFonts w:eastAsia="Times New Roman"/>
                      <w:color w:val="000000"/>
                      <w:lang w:val="es-PE"/>
                    </w:rPr>
                    <w:t>1</w:t>
                  </w:r>
                </w:p>
              </w:tc>
              <w:tc>
                <w:tcPr>
                  <w:tcW w:w="2248" w:type="dxa"/>
                  <w:tcBorders>
                    <w:top w:val="nil"/>
                    <w:left w:val="nil"/>
                    <w:bottom w:val="single" w:sz="4" w:space="0" w:color="auto"/>
                    <w:right w:val="single" w:sz="4" w:space="0" w:color="auto"/>
                  </w:tcBorders>
                  <w:shd w:val="clear" w:color="auto" w:fill="auto"/>
                  <w:noWrap/>
                  <w:vAlign w:val="bottom"/>
                  <w:hideMark/>
                </w:tcPr>
                <w:p w14:paraId="0FC6471F" w14:textId="53A62384" w:rsidR="007A59FB" w:rsidRPr="00D068A6" w:rsidRDefault="00357368" w:rsidP="007A59FB">
                  <w:pPr>
                    <w:jc w:val="center"/>
                    <w:rPr>
                      <w:rFonts w:eastAsia="Times New Roman"/>
                      <w:color w:val="000000"/>
                      <w:lang w:val="es-PE"/>
                    </w:rPr>
                  </w:pPr>
                  <w:r>
                    <w:rPr>
                      <w:rFonts w:eastAsia="Times New Roman"/>
                      <w:color w:val="000000"/>
                      <w:lang w:val="es-PE"/>
                    </w:rPr>
                    <w:t>2,</w:t>
                  </w:r>
                  <w:r w:rsidR="007A59FB" w:rsidRPr="00D068A6">
                    <w:rPr>
                      <w:rFonts w:eastAsia="Times New Roman"/>
                      <w:color w:val="000000"/>
                      <w:lang w:val="es-PE"/>
                    </w:rPr>
                    <w:t>4</w:t>
                  </w:r>
                </w:p>
              </w:tc>
            </w:tr>
            <w:tr w:rsidR="007A59FB" w:rsidRPr="00D068A6" w14:paraId="0CF1C95B" w14:textId="77777777" w:rsidTr="002C7444">
              <w:trPr>
                <w:trHeight w:val="397"/>
              </w:trPr>
              <w:tc>
                <w:tcPr>
                  <w:tcW w:w="2043" w:type="dxa"/>
                  <w:tcBorders>
                    <w:top w:val="nil"/>
                    <w:left w:val="single" w:sz="4" w:space="0" w:color="auto"/>
                    <w:bottom w:val="single" w:sz="4" w:space="0" w:color="auto"/>
                    <w:right w:val="single" w:sz="4" w:space="0" w:color="auto"/>
                  </w:tcBorders>
                  <w:shd w:val="clear" w:color="auto" w:fill="auto"/>
                  <w:noWrap/>
                  <w:vAlign w:val="center"/>
                  <w:hideMark/>
                </w:tcPr>
                <w:p w14:paraId="40BEA56B" w14:textId="77777777" w:rsidR="007A59FB" w:rsidRPr="00D068A6" w:rsidRDefault="007A59FB" w:rsidP="007A59FB">
                  <w:pPr>
                    <w:jc w:val="center"/>
                    <w:rPr>
                      <w:rFonts w:eastAsia="Times New Roman"/>
                      <w:lang w:val="es-PE"/>
                    </w:rPr>
                  </w:pPr>
                  <w:r w:rsidRPr="00D068A6">
                    <w:rPr>
                      <w:rFonts w:eastAsia="Times New Roman"/>
                      <w:lang w:val="es-PE"/>
                    </w:rPr>
                    <w:t>1990-98</w:t>
                  </w:r>
                </w:p>
              </w:tc>
              <w:tc>
                <w:tcPr>
                  <w:tcW w:w="1403" w:type="dxa"/>
                  <w:tcBorders>
                    <w:top w:val="nil"/>
                    <w:left w:val="nil"/>
                    <w:bottom w:val="single" w:sz="4" w:space="0" w:color="auto"/>
                    <w:right w:val="single" w:sz="4" w:space="0" w:color="auto"/>
                  </w:tcBorders>
                  <w:shd w:val="clear" w:color="auto" w:fill="auto"/>
                  <w:noWrap/>
                  <w:vAlign w:val="center"/>
                  <w:hideMark/>
                </w:tcPr>
                <w:p w14:paraId="6CDCE1CB" w14:textId="5539ACB0" w:rsidR="007A59FB" w:rsidRPr="00D068A6" w:rsidRDefault="00357368" w:rsidP="007A59FB">
                  <w:pPr>
                    <w:jc w:val="center"/>
                    <w:rPr>
                      <w:rFonts w:eastAsia="Times New Roman"/>
                      <w:lang w:val="es-PE"/>
                    </w:rPr>
                  </w:pPr>
                  <w:r>
                    <w:rPr>
                      <w:rFonts w:eastAsia="Times New Roman"/>
                      <w:lang w:val="es-PE"/>
                    </w:rPr>
                    <w:t>7,</w:t>
                  </w:r>
                  <w:r w:rsidR="007A59FB" w:rsidRPr="00D068A6">
                    <w:rPr>
                      <w:rFonts w:eastAsia="Times New Roman"/>
                      <w:lang w:val="es-PE"/>
                    </w:rPr>
                    <w:t>1</w:t>
                  </w:r>
                </w:p>
              </w:tc>
              <w:tc>
                <w:tcPr>
                  <w:tcW w:w="1531" w:type="dxa"/>
                  <w:tcBorders>
                    <w:top w:val="nil"/>
                    <w:left w:val="nil"/>
                    <w:bottom w:val="single" w:sz="4" w:space="0" w:color="auto"/>
                    <w:right w:val="single" w:sz="4" w:space="0" w:color="auto"/>
                  </w:tcBorders>
                  <w:shd w:val="clear" w:color="auto" w:fill="auto"/>
                  <w:noWrap/>
                  <w:vAlign w:val="center"/>
                  <w:hideMark/>
                </w:tcPr>
                <w:p w14:paraId="70CF2679" w14:textId="53E9D1D0" w:rsidR="007A59FB" w:rsidRPr="00D068A6" w:rsidRDefault="00357368" w:rsidP="007A59FB">
                  <w:pPr>
                    <w:jc w:val="center"/>
                    <w:rPr>
                      <w:rFonts w:eastAsia="Times New Roman"/>
                      <w:lang w:val="es-PE"/>
                    </w:rPr>
                  </w:pPr>
                  <w:r>
                    <w:rPr>
                      <w:rFonts w:eastAsia="Times New Roman"/>
                      <w:lang w:val="es-PE"/>
                    </w:rPr>
                    <w:t>9,9 (2,</w:t>
                  </w:r>
                  <w:r w:rsidR="007A59FB" w:rsidRPr="00D068A6">
                    <w:rPr>
                      <w:rFonts w:eastAsia="Times New Roman"/>
                      <w:lang w:val="es-PE"/>
                    </w:rPr>
                    <w:t>0)</w:t>
                  </w:r>
                </w:p>
              </w:tc>
              <w:tc>
                <w:tcPr>
                  <w:tcW w:w="2042" w:type="dxa"/>
                  <w:tcBorders>
                    <w:top w:val="nil"/>
                    <w:left w:val="nil"/>
                    <w:bottom w:val="single" w:sz="4" w:space="0" w:color="auto"/>
                    <w:right w:val="single" w:sz="4" w:space="0" w:color="auto"/>
                  </w:tcBorders>
                  <w:shd w:val="clear" w:color="auto" w:fill="auto"/>
                  <w:noWrap/>
                  <w:vAlign w:val="center"/>
                  <w:hideMark/>
                </w:tcPr>
                <w:p w14:paraId="5603E85E" w14:textId="612064B2" w:rsidR="007A59FB" w:rsidRPr="00D068A6" w:rsidRDefault="00357368" w:rsidP="007A59FB">
                  <w:pPr>
                    <w:jc w:val="center"/>
                    <w:rPr>
                      <w:rFonts w:eastAsia="Times New Roman"/>
                      <w:lang w:val="es-PE"/>
                    </w:rPr>
                  </w:pPr>
                  <w:r>
                    <w:rPr>
                      <w:rFonts w:eastAsia="Times New Roman"/>
                      <w:lang w:val="es-PE"/>
                    </w:rPr>
                    <w:t>6,5 (5,</w:t>
                  </w:r>
                  <w:r w:rsidR="007A59FB" w:rsidRPr="00D068A6">
                    <w:rPr>
                      <w:rFonts w:eastAsia="Times New Roman"/>
                      <w:lang w:val="es-PE"/>
                    </w:rPr>
                    <w:t>1)</w:t>
                  </w:r>
                </w:p>
              </w:tc>
              <w:tc>
                <w:tcPr>
                  <w:tcW w:w="1464" w:type="dxa"/>
                  <w:tcBorders>
                    <w:top w:val="nil"/>
                    <w:left w:val="nil"/>
                    <w:bottom w:val="single" w:sz="4" w:space="0" w:color="auto"/>
                    <w:right w:val="single" w:sz="4" w:space="0" w:color="auto"/>
                  </w:tcBorders>
                  <w:shd w:val="clear" w:color="auto" w:fill="auto"/>
                  <w:noWrap/>
                  <w:vAlign w:val="bottom"/>
                  <w:hideMark/>
                </w:tcPr>
                <w:p w14:paraId="6EF63417" w14:textId="0C64E964" w:rsidR="007A59FB" w:rsidRPr="00D068A6" w:rsidRDefault="00357368" w:rsidP="007A59FB">
                  <w:pPr>
                    <w:jc w:val="center"/>
                    <w:rPr>
                      <w:rFonts w:eastAsia="Times New Roman"/>
                      <w:color w:val="000000"/>
                      <w:lang w:val="es-PE"/>
                    </w:rPr>
                  </w:pPr>
                  <w:r>
                    <w:rPr>
                      <w:rFonts w:eastAsia="Times New Roman"/>
                      <w:color w:val="000000"/>
                      <w:lang w:val="es-PE"/>
                    </w:rPr>
                    <w:t>3,</w:t>
                  </w:r>
                  <w:r w:rsidR="007A59FB" w:rsidRPr="00D068A6">
                    <w:rPr>
                      <w:rFonts w:eastAsia="Times New Roman"/>
                      <w:color w:val="000000"/>
                      <w:lang w:val="es-PE"/>
                    </w:rPr>
                    <w:t>2</w:t>
                  </w:r>
                </w:p>
              </w:tc>
              <w:tc>
                <w:tcPr>
                  <w:tcW w:w="2248" w:type="dxa"/>
                  <w:tcBorders>
                    <w:top w:val="nil"/>
                    <w:left w:val="nil"/>
                    <w:bottom w:val="single" w:sz="4" w:space="0" w:color="auto"/>
                    <w:right w:val="single" w:sz="4" w:space="0" w:color="auto"/>
                  </w:tcBorders>
                  <w:shd w:val="clear" w:color="auto" w:fill="auto"/>
                  <w:noWrap/>
                  <w:vAlign w:val="bottom"/>
                  <w:hideMark/>
                </w:tcPr>
                <w:p w14:paraId="76393D4E" w14:textId="40AFCFDB" w:rsidR="007A59FB" w:rsidRPr="00D068A6" w:rsidRDefault="00357368" w:rsidP="007A59FB">
                  <w:pPr>
                    <w:jc w:val="center"/>
                    <w:rPr>
                      <w:rFonts w:eastAsia="Times New Roman"/>
                      <w:color w:val="000000"/>
                      <w:lang w:val="es-PE"/>
                    </w:rPr>
                  </w:pPr>
                  <w:r>
                    <w:rPr>
                      <w:rFonts w:eastAsia="Times New Roman"/>
                      <w:color w:val="000000"/>
                      <w:lang w:val="es-PE"/>
                    </w:rPr>
                    <w:t>3,</w:t>
                  </w:r>
                  <w:r w:rsidR="007A59FB" w:rsidRPr="00D068A6">
                    <w:rPr>
                      <w:rFonts w:eastAsia="Times New Roman"/>
                      <w:color w:val="000000"/>
                      <w:lang w:val="es-PE"/>
                    </w:rPr>
                    <w:t>9</w:t>
                  </w:r>
                </w:p>
              </w:tc>
            </w:tr>
            <w:tr w:rsidR="007A59FB" w:rsidRPr="00D068A6" w14:paraId="3D7ADAD1" w14:textId="77777777" w:rsidTr="002C7444">
              <w:trPr>
                <w:trHeight w:val="463"/>
              </w:trPr>
              <w:tc>
                <w:tcPr>
                  <w:tcW w:w="2043" w:type="dxa"/>
                  <w:tcBorders>
                    <w:top w:val="nil"/>
                    <w:left w:val="single" w:sz="4" w:space="0" w:color="auto"/>
                    <w:bottom w:val="single" w:sz="4" w:space="0" w:color="auto"/>
                    <w:right w:val="single" w:sz="4" w:space="0" w:color="auto"/>
                  </w:tcBorders>
                  <w:shd w:val="clear" w:color="auto" w:fill="auto"/>
                  <w:noWrap/>
                  <w:vAlign w:val="center"/>
                  <w:hideMark/>
                </w:tcPr>
                <w:p w14:paraId="32C670D1" w14:textId="77777777" w:rsidR="007A59FB" w:rsidRPr="00D068A6" w:rsidRDefault="007A59FB" w:rsidP="007A59FB">
                  <w:pPr>
                    <w:jc w:val="center"/>
                    <w:rPr>
                      <w:rFonts w:eastAsia="Times New Roman"/>
                      <w:lang w:val="es-PE"/>
                    </w:rPr>
                  </w:pPr>
                  <w:r w:rsidRPr="00D068A6">
                    <w:rPr>
                      <w:rFonts w:eastAsia="Times New Roman"/>
                      <w:lang w:val="es-PE"/>
                    </w:rPr>
                    <w:t>1999-2013</w:t>
                  </w:r>
                </w:p>
              </w:tc>
              <w:tc>
                <w:tcPr>
                  <w:tcW w:w="1403" w:type="dxa"/>
                  <w:tcBorders>
                    <w:top w:val="nil"/>
                    <w:left w:val="nil"/>
                    <w:bottom w:val="single" w:sz="4" w:space="0" w:color="auto"/>
                    <w:right w:val="single" w:sz="4" w:space="0" w:color="auto"/>
                  </w:tcBorders>
                  <w:shd w:val="clear" w:color="auto" w:fill="auto"/>
                  <w:noWrap/>
                  <w:vAlign w:val="center"/>
                  <w:hideMark/>
                </w:tcPr>
                <w:p w14:paraId="01E2C3B8" w14:textId="204660E3" w:rsidR="007A59FB" w:rsidRPr="00D068A6" w:rsidRDefault="00357368" w:rsidP="007A59FB">
                  <w:pPr>
                    <w:jc w:val="center"/>
                    <w:rPr>
                      <w:rFonts w:eastAsia="Times New Roman"/>
                      <w:lang w:val="es-PE"/>
                    </w:rPr>
                  </w:pPr>
                  <w:r>
                    <w:rPr>
                      <w:rFonts w:eastAsia="Times New Roman"/>
                      <w:lang w:val="es-PE"/>
                    </w:rPr>
                    <w:t>3,</w:t>
                  </w:r>
                  <w:r w:rsidR="007A59FB" w:rsidRPr="00D068A6">
                    <w:rPr>
                      <w:rFonts w:eastAsia="Times New Roman"/>
                      <w:lang w:val="es-PE"/>
                    </w:rPr>
                    <w:t>9</w:t>
                  </w:r>
                </w:p>
              </w:tc>
              <w:tc>
                <w:tcPr>
                  <w:tcW w:w="1531" w:type="dxa"/>
                  <w:tcBorders>
                    <w:top w:val="nil"/>
                    <w:left w:val="nil"/>
                    <w:bottom w:val="single" w:sz="4" w:space="0" w:color="auto"/>
                    <w:right w:val="single" w:sz="4" w:space="0" w:color="auto"/>
                  </w:tcBorders>
                  <w:shd w:val="clear" w:color="auto" w:fill="auto"/>
                  <w:noWrap/>
                  <w:vAlign w:val="center"/>
                  <w:hideMark/>
                </w:tcPr>
                <w:p w14:paraId="737B0963" w14:textId="3A32D1D8" w:rsidR="007A59FB" w:rsidRPr="00D068A6" w:rsidRDefault="00357368" w:rsidP="007A59FB">
                  <w:pPr>
                    <w:jc w:val="center"/>
                    <w:rPr>
                      <w:rFonts w:eastAsia="Times New Roman"/>
                      <w:lang w:val="es-PE"/>
                    </w:rPr>
                  </w:pPr>
                  <w:r>
                    <w:rPr>
                      <w:rFonts w:eastAsia="Times New Roman"/>
                      <w:lang w:val="es-PE"/>
                    </w:rPr>
                    <w:t>4,2 (1,</w:t>
                  </w:r>
                  <w:r w:rsidR="007A59FB" w:rsidRPr="00D068A6">
                    <w:rPr>
                      <w:rFonts w:eastAsia="Times New Roman"/>
                      <w:lang w:val="es-PE"/>
                    </w:rPr>
                    <w:t>4)</w:t>
                  </w:r>
                </w:p>
              </w:tc>
              <w:tc>
                <w:tcPr>
                  <w:tcW w:w="2042" w:type="dxa"/>
                  <w:tcBorders>
                    <w:top w:val="nil"/>
                    <w:left w:val="nil"/>
                    <w:bottom w:val="single" w:sz="4" w:space="0" w:color="auto"/>
                    <w:right w:val="single" w:sz="4" w:space="0" w:color="auto"/>
                  </w:tcBorders>
                  <w:shd w:val="clear" w:color="auto" w:fill="auto"/>
                  <w:noWrap/>
                  <w:vAlign w:val="center"/>
                  <w:hideMark/>
                </w:tcPr>
                <w:p w14:paraId="522406DD" w14:textId="21D593AE" w:rsidR="007A59FB" w:rsidRPr="00D068A6" w:rsidRDefault="00357368" w:rsidP="007A59FB">
                  <w:pPr>
                    <w:jc w:val="center"/>
                    <w:rPr>
                      <w:rFonts w:eastAsia="Times New Roman"/>
                      <w:lang w:val="es-PE"/>
                    </w:rPr>
                  </w:pPr>
                  <w:r>
                    <w:rPr>
                      <w:rFonts w:eastAsia="Times New Roman"/>
                      <w:lang w:val="es-PE"/>
                    </w:rPr>
                    <w:t>3,8 (2,</w:t>
                  </w:r>
                  <w:r w:rsidR="007A59FB" w:rsidRPr="00D068A6">
                    <w:rPr>
                      <w:rFonts w:eastAsia="Times New Roman"/>
                      <w:lang w:val="es-PE"/>
                    </w:rPr>
                    <w:t>5)</w:t>
                  </w:r>
                </w:p>
              </w:tc>
              <w:tc>
                <w:tcPr>
                  <w:tcW w:w="1464" w:type="dxa"/>
                  <w:tcBorders>
                    <w:top w:val="nil"/>
                    <w:left w:val="nil"/>
                    <w:bottom w:val="single" w:sz="4" w:space="0" w:color="auto"/>
                    <w:right w:val="single" w:sz="4" w:space="0" w:color="auto"/>
                  </w:tcBorders>
                  <w:shd w:val="clear" w:color="auto" w:fill="auto"/>
                  <w:noWrap/>
                  <w:vAlign w:val="bottom"/>
                  <w:hideMark/>
                </w:tcPr>
                <w:p w14:paraId="4B282C6B" w14:textId="220CB92A" w:rsidR="007A59FB" w:rsidRPr="00D068A6" w:rsidRDefault="00357368" w:rsidP="007A59FB">
                  <w:pPr>
                    <w:jc w:val="center"/>
                    <w:rPr>
                      <w:rFonts w:eastAsia="Times New Roman"/>
                      <w:color w:val="000000"/>
                      <w:lang w:val="es-PE"/>
                    </w:rPr>
                  </w:pPr>
                  <w:r>
                    <w:rPr>
                      <w:rFonts w:eastAsia="Times New Roman"/>
                      <w:color w:val="000000"/>
                      <w:lang w:val="es-PE"/>
                    </w:rPr>
                    <w:t>3,</w:t>
                  </w:r>
                  <w:r w:rsidR="007A59FB" w:rsidRPr="00D068A6">
                    <w:rPr>
                      <w:rFonts w:eastAsia="Times New Roman"/>
                      <w:color w:val="000000"/>
                      <w:lang w:val="es-PE"/>
                    </w:rPr>
                    <w:t>2</w:t>
                  </w:r>
                </w:p>
              </w:tc>
              <w:tc>
                <w:tcPr>
                  <w:tcW w:w="2248" w:type="dxa"/>
                  <w:tcBorders>
                    <w:top w:val="nil"/>
                    <w:left w:val="nil"/>
                    <w:bottom w:val="single" w:sz="4" w:space="0" w:color="auto"/>
                    <w:right w:val="single" w:sz="4" w:space="0" w:color="auto"/>
                  </w:tcBorders>
                  <w:shd w:val="clear" w:color="auto" w:fill="auto"/>
                  <w:noWrap/>
                  <w:vAlign w:val="bottom"/>
                  <w:hideMark/>
                </w:tcPr>
                <w:p w14:paraId="5F3CE06F" w14:textId="4B110849" w:rsidR="007A59FB" w:rsidRPr="00D068A6" w:rsidRDefault="00357368" w:rsidP="007A59FB">
                  <w:pPr>
                    <w:jc w:val="center"/>
                    <w:rPr>
                      <w:rFonts w:eastAsia="Times New Roman"/>
                      <w:color w:val="000000"/>
                      <w:lang w:val="es-PE"/>
                    </w:rPr>
                  </w:pPr>
                  <w:r>
                    <w:rPr>
                      <w:rFonts w:eastAsia="Times New Roman"/>
                      <w:color w:val="000000"/>
                      <w:lang w:val="es-PE"/>
                    </w:rPr>
                    <w:t>3,</w:t>
                  </w:r>
                  <w:r w:rsidR="007A59FB" w:rsidRPr="00D068A6">
                    <w:rPr>
                      <w:rFonts w:eastAsia="Times New Roman"/>
                      <w:color w:val="000000"/>
                      <w:lang w:val="es-PE"/>
                    </w:rPr>
                    <w:t>2</w:t>
                  </w:r>
                </w:p>
              </w:tc>
            </w:tr>
            <w:tr w:rsidR="007A59FB" w:rsidRPr="00D068A6" w14:paraId="56DB0A3C" w14:textId="77777777" w:rsidTr="002C7444">
              <w:trPr>
                <w:trHeight w:val="388"/>
              </w:trPr>
              <w:tc>
                <w:tcPr>
                  <w:tcW w:w="2043" w:type="dxa"/>
                  <w:tcBorders>
                    <w:top w:val="nil"/>
                    <w:left w:val="single" w:sz="4" w:space="0" w:color="auto"/>
                    <w:bottom w:val="single" w:sz="4" w:space="0" w:color="auto"/>
                    <w:right w:val="single" w:sz="4" w:space="0" w:color="auto"/>
                  </w:tcBorders>
                  <w:shd w:val="clear" w:color="auto" w:fill="auto"/>
                  <w:noWrap/>
                  <w:vAlign w:val="center"/>
                </w:tcPr>
                <w:p w14:paraId="2D294B42" w14:textId="77777777" w:rsidR="007A59FB" w:rsidRPr="00D068A6" w:rsidRDefault="007A59FB" w:rsidP="007A59FB">
                  <w:pPr>
                    <w:jc w:val="center"/>
                    <w:rPr>
                      <w:rFonts w:eastAsia="Times New Roman"/>
                      <w:lang w:val="es-PE"/>
                    </w:rPr>
                  </w:pPr>
                  <w:r>
                    <w:rPr>
                      <w:rFonts w:eastAsia="Times New Roman"/>
                      <w:lang w:val="es-PE"/>
                    </w:rPr>
                    <w:t>2013</w:t>
                  </w:r>
                </w:p>
              </w:tc>
              <w:tc>
                <w:tcPr>
                  <w:tcW w:w="1403" w:type="dxa"/>
                  <w:tcBorders>
                    <w:top w:val="nil"/>
                    <w:left w:val="nil"/>
                    <w:bottom w:val="single" w:sz="4" w:space="0" w:color="auto"/>
                    <w:right w:val="single" w:sz="4" w:space="0" w:color="auto"/>
                  </w:tcBorders>
                  <w:shd w:val="clear" w:color="auto" w:fill="auto"/>
                  <w:noWrap/>
                  <w:vAlign w:val="center"/>
                </w:tcPr>
                <w:p w14:paraId="2438F9D2" w14:textId="568EA90F" w:rsidR="007A59FB" w:rsidRPr="00D068A6" w:rsidRDefault="00357368" w:rsidP="007A59FB">
                  <w:pPr>
                    <w:jc w:val="center"/>
                    <w:rPr>
                      <w:rFonts w:eastAsia="Times New Roman"/>
                      <w:lang w:val="es-PE"/>
                    </w:rPr>
                  </w:pPr>
                  <w:r>
                    <w:rPr>
                      <w:rFonts w:eastAsia="Times New Roman"/>
                      <w:lang w:val="es-PE"/>
                    </w:rPr>
                    <w:t>4,</w:t>
                  </w:r>
                  <w:r w:rsidR="007A59FB">
                    <w:rPr>
                      <w:rFonts w:eastAsia="Times New Roman"/>
                      <w:lang w:val="es-PE"/>
                    </w:rPr>
                    <w:t>0</w:t>
                  </w:r>
                </w:p>
              </w:tc>
              <w:tc>
                <w:tcPr>
                  <w:tcW w:w="1531" w:type="dxa"/>
                  <w:tcBorders>
                    <w:top w:val="nil"/>
                    <w:left w:val="nil"/>
                    <w:bottom w:val="single" w:sz="4" w:space="0" w:color="auto"/>
                    <w:right w:val="single" w:sz="4" w:space="0" w:color="auto"/>
                  </w:tcBorders>
                  <w:shd w:val="clear" w:color="auto" w:fill="auto"/>
                  <w:noWrap/>
                  <w:vAlign w:val="center"/>
                </w:tcPr>
                <w:p w14:paraId="38D4B4C5" w14:textId="770F8C73" w:rsidR="007A59FB" w:rsidRPr="008A0BF5" w:rsidRDefault="00357368" w:rsidP="007A59FB">
                  <w:pPr>
                    <w:jc w:val="center"/>
                    <w:rPr>
                      <w:rFonts w:eastAsia="Times New Roman"/>
                      <w:lang w:val="es-PE"/>
                    </w:rPr>
                  </w:pPr>
                  <w:r>
                    <w:rPr>
                      <w:rFonts w:eastAsia="Times New Roman"/>
                      <w:lang w:val="es-PE"/>
                    </w:rPr>
                    <w:t>3,3 (0,</w:t>
                  </w:r>
                  <w:r w:rsidR="007A59FB" w:rsidRPr="008A0BF5">
                    <w:rPr>
                      <w:rFonts w:eastAsia="Times New Roman"/>
                      <w:lang w:val="es-PE"/>
                    </w:rPr>
                    <w:t>9)</w:t>
                  </w:r>
                </w:p>
              </w:tc>
              <w:tc>
                <w:tcPr>
                  <w:tcW w:w="2042" w:type="dxa"/>
                  <w:tcBorders>
                    <w:top w:val="nil"/>
                    <w:left w:val="nil"/>
                    <w:bottom w:val="single" w:sz="4" w:space="0" w:color="auto"/>
                    <w:right w:val="single" w:sz="4" w:space="0" w:color="auto"/>
                  </w:tcBorders>
                  <w:shd w:val="clear" w:color="auto" w:fill="auto"/>
                  <w:noWrap/>
                  <w:vAlign w:val="center"/>
                </w:tcPr>
                <w:p w14:paraId="5327CE58" w14:textId="26FD91E9" w:rsidR="007A59FB" w:rsidRPr="008A0BF5" w:rsidRDefault="00357368" w:rsidP="007A59FB">
                  <w:pPr>
                    <w:jc w:val="center"/>
                    <w:rPr>
                      <w:rFonts w:eastAsia="Times New Roman"/>
                      <w:lang w:val="es-PE"/>
                    </w:rPr>
                  </w:pPr>
                  <w:r>
                    <w:rPr>
                      <w:rFonts w:eastAsia="Times New Roman"/>
                      <w:lang w:val="es-PE"/>
                    </w:rPr>
                    <w:t>4,</w:t>
                  </w:r>
                  <w:r w:rsidR="007A59FB" w:rsidRPr="008A0BF5">
                    <w:rPr>
                      <w:rFonts w:eastAsia="Times New Roman"/>
                      <w:lang w:val="es-PE"/>
                    </w:rPr>
                    <w:t>2</w:t>
                  </w:r>
                  <w:r w:rsidR="007A59FB">
                    <w:rPr>
                      <w:rFonts w:eastAsia="Times New Roman"/>
                      <w:lang w:val="es-PE"/>
                    </w:rPr>
                    <w:t xml:space="preserve"> </w:t>
                  </w:r>
                  <w:r>
                    <w:rPr>
                      <w:rFonts w:eastAsia="Times New Roman"/>
                      <w:lang w:val="es-PE"/>
                    </w:rPr>
                    <w:t>(3,</w:t>
                  </w:r>
                  <w:r w:rsidR="007A59FB" w:rsidRPr="008A0BF5">
                    <w:rPr>
                      <w:rFonts w:eastAsia="Times New Roman"/>
                      <w:lang w:val="es-PE"/>
                    </w:rPr>
                    <w:t>1)</w:t>
                  </w:r>
                </w:p>
              </w:tc>
              <w:tc>
                <w:tcPr>
                  <w:tcW w:w="1464" w:type="dxa"/>
                  <w:tcBorders>
                    <w:top w:val="nil"/>
                    <w:left w:val="nil"/>
                    <w:bottom w:val="single" w:sz="4" w:space="0" w:color="auto"/>
                    <w:right w:val="single" w:sz="4" w:space="0" w:color="auto"/>
                  </w:tcBorders>
                  <w:shd w:val="clear" w:color="auto" w:fill="auto"/>
                  <w:noWrap/>
                  <w:vAlign w:val="bottom"/>
                </w:tcPr>
                <w:p w14:paraId="3923EB92" w14:textId="6F408C52" w:rsidR="007A59FB" w:rsidRPr="008A0BF5" w:rsidRDefault="00357368" w:rsidP="007A59FB">
                  <w:pPr>
                    <w:jc w:val="center"/>
                    <w:rPr>
                      <w:rFonts w:eastAsia="Times New Roman"/>
                      <w:color w:val="000000"/>
                      <w:lang w:val="es-PE"/>
                    </w:rPr>
                  </w:pPr>
                  <w:r>
                    <w:rPr>
                      <w:rFonts w:eastAsia="Times New Roman"/>
                      <w:color w:val="000000"/>
                      <w:lang w:val="es-PE"/>
                    </w:rPr>
                    <w:t>2,</w:t>
                  </w:r>
                  <w:r w:rsidR="007A59FB" w:rsidRPr="008A0BF5">
                    <w:rPr>
                      <w:rFonts w:eastAsia="Times New Roman"/>
                      <w:color w:val="000000"/>
                      <w:lang w:val="es-PE"/>
                    </w:rPr>
                    <w:t>9</w:t>
                  </w:r>
                </w:p>
              </w:tc>
              <w:tc>
                <w:tcPr>
                  <w:tcW w:w="2248" w:type="dxa"/>
                  <w:tcBorders>
                    <w:top w:val="nil"/>
                    <w:left w:val="nil"/>
                    <w:bottom w:val="single" w:sz="4" w:space="0" w:color="auto"/>
                    <w:right w:val="single" w:sz="4" w:space="0" w:color="auto"/>
                  </w:tcBorders>
                  <w:shd w:val="clear" w:color="auto" w:fill="auto"/>
                  <w:noWrap/>
                  <w:vAlign w:val="bottom"/>
                </w:tcPr>
                <w:p w14:paraId="32112591" w14:textId="743379EA" w:rsidR="007A59FB" w:rsidRPr="008A0BF5" w:rsidRDefault="00357368" w:rsidP="007A59FB">
                  <w:pPr>
                    <w:jc w:val="center"/>
                    <w:rPr>
                      <w:rFonts w:eastAsia="Times New Roman"/>
                      <w:color w:val="000000"/>
                      <w:lang w:val="es-PE"/>
                    </w:rPr>
                  </w:pPr>
                  <w:r>
                    <w:rPr>
                      <w:rFonts w:eastAsia="Times New Roman"/>
                      <w:color w:val="000000"/>
                      <w:lang w:val="es-PE"/>
                    </w:rPr>
                    <w:t>2,</w:t>
                  </w:r>
                  <w:r w:rsidR="007A59FB" w:rsidRPr="008A0BF5">
                    <w:rPr>
                      <w:rFonts w:eastAsia="Times New Roman"/>
                      <w:color w:val="000000"/>
                      <w:lang w:val="es-PE"/>
                    </w:rPr>
                    <w:t>9</w:t>
                  </w:r>
                </w:p>
              </w:tc>
            </w:tr>
            <w:tr w:rsidR="007A59FB" w:rsidRPr="00D068A6" w14:paraId="6F76EB63" w14:textId="77777777" w:rsidTr="002C7444">
              <w:trPr>
                <w:trHeight w:val="397"/>
              </w:trPr>
              <w:tc>
                <w:tcPr>
                  <w:tcW w:w="2043" w:type="dxa"/>
                  <w:tcBorders>
                    <w:top w:val="nil"/>
                    <w:left w:val="single" w:sz="4" w:space="0" w:color="auto"/>
                    <w:bottom w:val="single" w:sz="4" w:space="0" w:color="auto"/>
                    <w:right w:val="single" w:sz="4" w:space="0" w:color="auto"/>
                  </w:tcBorders>
                  <w:shd w:val="clear" w:color="auto" w:fill="auto"/>
                  <w:noWrap/>
                  <w:vAlign w:val="center"/>
                  <w:hideMark/>
                </w:tcPr>
                <w:p w14:paraId="2C24827B" w14:textId="77777777" w:rsidR="007A59FB" w:rsidRPr="00D068A6" w:rsidRDefault="007A59FB" w:rsidP="007A59FB">
                  <w:pPr>
                    <w:jc w:val="center"/>
                    <w:rPr>
                      <w:rFonts w:eastAsia="Times New Roman"/>
                      <w:lang w:val="es-PE"/>
                    </w:rPr>
                  </w:pPr>
                  <w:r w:rsidRPr="00D068A6">
                    <w:rPr>
                      <w:rFonts w:eastAsia="Times New Roman"/>
                      <w:lang w:val="es-PE"/>
                    </w:rPr>
                    <w:t>2014</w:t>
                  </w:r>
                </w:p>
              </w:tc>
              <w:tc>
                <w:tcPr>
                  <w:tcW w:w="1403" w:type="dxa"/>
                  <w:tcBorders>
                    <w:top w:val="nil"/>
                    <w:left w:val="nil"/>
                    <w:bottom w:val="single" w:sz="4" w:space="0" w:color="auto"/>
                    <w:right w:val="single" w:sz="4" w:space="0" w:color="auto"/>
                  </w:tcBorders>
                  <w:shd w:val="clear" w:color="auto" w:fill="auto"/>
                  <w:noWrap/>
                  <w:vAlign w:val="center"/>
                  <w:hideMark/>
                </w:tcPr>
                <w:p w14:paraId="0FAE64A1" w14:textId="0D314D23" w:rsidR="007A59FB" w:rsidRPr="00D068A6" w:rsidRDefault="00357368" w:rsidP="007A59FB">
                  <w:pPr>
                    <w:jc w:val="center"/>
                    <w:rPr>
                      <w:rFonts w:eastAsia="Times New Roman"/>
                      <w:lang w:val="es-PE"/>
                    </w:rPr>
                  </w:pPr>
                  <w:r>
                    <w:rPr>
                      <w:rFonts w:eastAsia="Times New Roman"/>
                      <w:lang w:val="es-PE"/>
                    </w:rPr>
                    <w:t>1,</w:t>
                  </w:r>
                  <w:r w:rsidR="007A59FB" w:rsidRPr="00D068A6">
                    <w:rPr>
                      <w:rFonts w:eastAsia="Times New Roman"/>
                      <w:lang w:val="es-PE"/>
                    </w:rPr>
                    <w:t>9</w:t>
                  </w:r>
                </w:p>
              </w:tc>
              <w:tc>
                <w:tcPr>
                  <w:tcW w:w="1531" w:type="dxa"/>
                  <w:tcBorders>
                    <w:top w:val="nil"/>
                    <w:left w:val="nil"/>
                    <w:bottom w:val="single" w:sz="4" w:space="0" w:color="auto"/>
                    <w:right w:val="single" w:sz="4" w:space="0" w:color="auto"/>
                  </w:tcBorders>
                  <w:shd w:val="clear" w:color="auto" w:fill="auto"/>
                  <w:noWrap/>
                  <w:vAlign w:val="center"/>
                  <w:hideMark/>
                </w:tcPr>
                <w:p w14:paraId="305733F4" w14:textId="5782C872" w:rsidR="007A59FB" w:rsidRPr="008A0BF5" w:rsidRDefault="00357368" w:rsidP="007A59FB">
                  <w:pPr>
                    <w:jc w:val="center"/>
                    <w:rPr>
                      <w:rFonts w:eastAsia="Times New Roman"/>
                      <w:lang w:val="es-PE"/>
                    </w:rPr>
                  </w:pPr>
                  <w:r>
                    <w:rPr>
                      <w:rFonts w:eastAsia="Times New Roman"/>
                      <w:lang w:val="es-PE"/>
                    </w:rPr>
                    <w:t>1,1 (0,</w:t>
                  </w:r>
                  <w:r w:rsidR="007A59FB" w:rsidRPr="008A0BF5">
                    <w:rPr>
                      <w:rFonts w:eastAsia="Times New Roman"/>
                      <w:lang w:val="es-PE"/>
                    </w:rPr>
                    <w:t>3)</w:t>
                  </w:r>
                </w:p>
              </w:tc>
              <w:tc>
                <w:tcPr>
                  <w:tcW w:w="2042" w:type="dxa"/>
                  <w:tcBorders>
                    <w:top w:val="nil"/>
                    <w:left w:val="nil"/>
                    <w:bottom w:val="single" w:sz="4" w:space="0" w:color="auto"/>
                    <w:right w:val="single" w:sz="4" w:space="0" w:color="auto"/>
                  </w:tcBorders>
                  <w:shd w:val="clear" w:color="auto" w:fill="auto"/>
                  <w:noWrap/>
                  <w:vAlign w:val="center"/>
                  <w:hideMark/>
                </w:tcPr>
                <w:p w14:paraId="1C70EBB6" w14:textId="0FAA76C5" w:rsidR="007A59FB" w:rsidRPr="008A0BF5" w:rsidRDefault="00357368" w:rsidP="007A59FB">
                  <w:pPr>
                    <w:jc w:val="center"/>
                    <w:rPr>
                      <w:rFonts w:eastAsia="Times New Roman"/>
                      <w:lang w:val="es-PE"/>
                    </w:rPr>
                  </w:pPr>
                  <w:r>
                    <w:rPr>
                      <w:rFonts w:eastAsia="Times New Roman"/>
                      <w:lang w:val="es-PE"/>
                    </w:rPr>
                    <w:t>2,2 (1,</w:t>
                  </w:r>
                  <w:r w:rsidR="007A59FB" w:rsidRPr="008A0BF5">
                    <w:rPr>
                      <w:rFonts w:eastAsia="Times New Roman"/>
                      <w:lang w:val="es-PE"/>
                    </w:rPr>
                    <w:t>6)</w:t>
                  </w:r>
                </w:p>
              </w:tc>
              <w:tc>
                <w:tcPr>
                  <w:tcW w:w="1464" w:type="dxa"/>
                  <w:tcBorders>
                    <w:top w:val="nil"/>
                    <w:left w:val="nil"/>
                    <w:bottom w:val="single" w:sz="4" w:space="0" w:color="auto"/>
                    <w:right w:val="single" w:sz="4" w:space="0" w:color="auto"/>
                  </w:tcBorders>
                  <w:shd w:val="clear" w:color="auto" w:fill="auto"/>
                  <w:noWrap/>
                  <w:vAlign w:val="bottom"/>
                  <w:hideMark/>
                </w:tcPr>
                <w:p w14:paraId="330F7751" w14:textId="28E65729" w:rsidR="007A59FB" w:rsidRPr="008A0BF5" w:rsidRDefault="00357368" w:rsidP="007A59FB">
                  <w:pPr>
                    <w:jc w:val="center"/>
                    <w:rPr>
                      <w:rFonts w:eastAsia="Times New Roman"/>
                      <w:color w:val="000000"/>
                      <w:lang w:val="es-PE"/>
                    </w:rPr>
                  </w:pPr>
                  <w:r>
                    <w:rPr>
                      <w:rFonts w:eastAsia="Times New Roman"/>
                      <w:color w:val="000000"/>
                      <w:lang w:val="es-PE"/>
                    </w:rPr>
                    <w:t>0,</w:t>
                  </w:r>
                  <w:r w:rsidR="007A59FB" w:rsidRPr="008A0BF5">
                    <w:rPr>
                      <w:rFonts w:eastAsia="Times New Roman"/>
                      <w:color w:val="000000"/>
                      <w:lang w:val="es-PE"/>
                    </w:rPr>
                    <w:t>9</w:t>
                  </w:r>
                </w:p>
              </w:tc>
              <w:tc>
                <w:tcPr>
                  <w:tcW w:w="2248" w:type="dxa"/>
                  <w:tcBorders>
                    <w:top w:val="nil"/>
                    <w:left w:val="nil"/>
                    <w:bottom w:val="single" w:sz="4" w:space="0" w:color="auto"/>
                    <w:right w:val="single" w:sz="4" w:space="0" w:color="auto"/>
                  </w:tcBorders>
                  <w:shd w:val="clear" w:color="auto" w:fill="auto"/>
                  <w:noWrap/>
                  <w:vAlign w:val="bottom"/>
                  <w:hideMark/>
                </w:tcPr>
                <w:p w14:paraId="73611BDD" w14:textId="1DB126C1" w:rsidR="007A59FB" w:rsidRPr="008A0BF5" w:rsidRDefault="00357368" w:rsidP="007A59FB">
                  <w:pPr>
                    <w:jc w:val="center"/>
                    <w:rPr>
                      <w:rFonts w:eastAsia="Times New Roman"/>
                      <w:color w:val="000000"/>
                      <w:lang w:val="es-PE"/>
                    </w:rPr>
                  </w:pPr>
                  <w:r>
                    <w:rPr>
                      <w:rFonts w:eastAsia="Times New Roman"/>
                      <w:color w:val="000000"/>
                      <w:lang w:val="es-PE"/>
                    </w:rPr>
                    <w:t>1,</w:t>
                  </w:r>
                  <w:r w:rsidR="007A59FB" w:rsidRPr="008A0BF5">
                    <w:rPr>
                      <w:rFonts w:eastAsia="Times New Roman"/>
                      <w:color w:val="000000"/>
                      <w:lang w:val="es-PE"/>
                    </w:rPr>
                    <w:t>6</w:t>
                  </w:r>
                </w:p>
              </w:tc>
            </w:tr>
            <w:tr w:rsidR="007A59FB" w:rsidRPr="00D068A6" w14:paraId="60179AB3" w14:textId="77777777" w:rsidTr="002C7444">
              <w:trPr>
                <w:trHeight w:val="312"/>
              </w:trPr>
              <w:tc>
                <w:tcPr>
                  <w:tcW w:w="2043" w:type="dxa"/>
                  <w:tcBorders>
                    <w:top w:val="nil"/>
                    <w:left w:val="single" w:sz="4" w:space="0" w:color="auto"/>
                    <w:bottom w:val="single" w:sz="4" w:space="0" w:color="auto"/>
                    <w:right w:val="single" w:sz="4" w:space="0" w:color="auto"/>
                  </w:tcBorders>
                  <w:shd w:val="clear" w:color="auto" w:fill="auto"/>
                  <w:noWrap/>
                  <w:vAlign w:val="center"/>
                  <w:hideMark/>
                </w:tcPr>
                <w:p w14:paraId="403129C7" w14:textId="77777777" w:rsidR="007A59FB" w:rsidRDefault="007A59FB" w:rsidP="007A59FB">
                  <w:pPr>
                    <w:jc w:val="center"/>
                    <w:rPr>
                      <w:rFonts w:eastAsia="Times New Roman"/>
                      <w:lang w:val="es-PE"/>
                    </w:rPr>
                  </w:pPr>
                  <w:r w:rsidRPr="00D068A6">
                    <w:rPr>
                      <w:rFonts w:eastAsia="Times New Roman"/>
                      <w:lang w:val="es-PE"/>
                    </w:rPr>
                    <w:t>2015</w:t>
                  </w:r>
                </w:p>
                <w:p w14:paraId="391C9807" w14:textId="77777777" w:rsidR="007A59FB" w:rsidRPr="00D068A6" w:rsidRDefault="007A59FB" w:rsidP="007A59FB">
                  <w:pPr>
                    <w:jc w:val="center"/>
                    <w:rPr>
                      <w:rFonts w:eastAsia="Times New Roman"/>
                      <w:lang w:val="es-PE"/>
                    </w:rPr>
                  </w:pPr>
                </w:p>
              </w:tc>
              <w:tc>
                <w:tcPr>
                  <w:tcW w:w="1403" w:type="dxa"/>
                  <w:tcBorders>
                    <w:top w:val="nil"/>
                    <w:left w:val="nil"/>
                    <w:bottom w:val="single" w:sz="4" w:space="0" w:color="auto"/>
                    <w:right w:val="single" w:sz="4" w:space="0" w:color="auto"/>
                  </w:tcBorders>
                  <w:shd w:val="clear" w:color="auto" w:fill="auto"/>
                  <w:noWrap/>
                  <w:vAlign w:val="center"/>
                  <w:hideMark/>
                </w:tcPr>
                <w:p w14:paraId="19010B21" w14:textId="4DF6F546" w:rsidR="007A59FB" w:rsidRDefault="00357368" w:rsidP="007A59FB">
                  <w:pPr>
                    <w:jc w:val="center"/>
                    <w:rPr>
                      <w:rFonts w:eastAsia="Times New Roman"/>
                      <w:lang w:val="es-PE"/>
                    </w:rPr>
                  </w:pPr>
                  <w:r>
                    <w:rPr>
                      <w:rFonts w:eastAsia="Times New Roman"/>
                      <w:lang w:val="es-PE"/>
                    </w:rPr>
                    <w:t>2,</w:t>
                  </w:r>
                  <w:r w:rsidR="007A59FB" w:rsidRPr="00D068A6">
                    <w:rPr>
                      <w:rFonts w:eastAsia="Times New Roman"/>
                      <w:lang w:val="es-PE"/>
                    </w:rPr>
                    <w:t>3</w:t>
                  </w:r>
                </w:p>
                <w:p w14:paraId="5814A882" w14:textId="77777777" w:rsidR="007A59FB" w:rsidRPr="00D068A6" w:rsidRDefault="007A59FB" w:rsidP="007A59FB">
                  <w:pPr>
                    <w:jc w:val="center"/>
                    <w:rPr>
                      <w:rFonts w:eastAsia="Times New Roman"/>
                      <w:lang w:val="es-PE"/>
                    </w:rPr>
                  </w:pPr>
                </w:p>
              </w:tc>
              <w:tc>
                <w:tcPr>
                  <w:tcW w:w="1531" w:type="dxa"/>
                  <w:tcBorders>
                    <w:top w:val="nil"/>
                    <w:left w:val="nil"/>
                    <w:bottom w:val="single" w:sz="4" w:space="0" w:color="auto"/>
                    <w:right w:val="single" w:sz="4" w:space="0" w:color="auto"/>
                  </w:tcBorders>
                  <w:shd w:val="clear" w:color="auto" w:fill="auto"/>
                  <w:noWrap/>
                  <w:vAlign w:val="center"/>
                  <w:hideMark/>
                </w:tcPr>
                <w:p w14:paraId="2B9173EC" w14:textId="4692DA9D" w:rsidR="007A59FB" w:rsidRDefault="00357368" w:rsidP="007A59FB">
                  <w:pPr>
                    <w:jc w:val="center"/>
                    <w:rPr>
                      <w:rFonts w:eastAsia="Times New Roman"/>
                      <w:lang w:val="es-PE"/>
                    </w:rPr>
                  </w:pPr>
                  <w:r>
                    <w:rPr>
                      <w:rFonts w:eastAsia="Times New Roman"/>
                      <w:lang w:val="es-PE"/>
                    </w:rPr>
                    <w:t>-1,9 (-0,</w:t>
                  </w:r>
                  <w:r w:rsidR="007A59FB" w:rsidRPr="008A0BF5">
                    <w:rPr>
                      <w:rFonts w:eastAsia="Times New Roman"/>
                      <w:lang w:val="es-PE"/>
                    </w:rPr>
                    <w:t>5)</w:t>
                  </w:r>
                </w:p>
                <w:p w14:paraId="0618DF68" w14:textId="77777777" w:rsidR="007A59FB" w:rsidRPr="008A0BF5" w:rsidRDefault="007A59FB" w:rsidP="007A59FB">
                  <w:pPr>
                    <w:jc w:val="center"/>
                    <w:rPr>
                      <w:rFonts w:eastAsia="Times New Roman"/>
                      <w:lang w:val="es-PE"/>
                    </w:rPr>
                  </w:pPr>
                </w:p>
              </w:tc>
              <w:tc>
                <w:tcPr>
                  <w:tcW w:w="2042" w:type="dxa"/>
                  <w:tcBorders>
                    <w:top w:val="nil"/>
                    <w:left w:val="nil"/>
                    <w:bottom w:val="single" w:sz="4" w:space="0" w:color="auto"/>
                    <w:right w:val="single" w:sz="4" w:space="0" w:color="auto"/>
                  </w:tcBorders>
                  <w:shd w:val="clear" w:color="auto" w:fill="auto"/>
                  <w:noWrap/>
                  <w:vAlign w:val="center"/>
                  <w:hideMark/>
                </w:tcPr>
                <w:p w14:paraId="033F54E1" w14:textId="6E626C12" w:rsidR="007A59FB" w:rsidRDefault="00357368" w:rsidP="007A59FB">
                  <w:pPr>
                    <w:jc w:val="center"/>
                    <w:rPr>
                      <w:rFonts w:eastAsia="Times New Roman"/>
                      <w:lang w:val="es-PE"/>
                    </w:rPr>
                  </w:pPr>
                  <w:r>
                    <w:rPr>
                      <w:rFonts w:eastAsia="Times New Roman"/>
                      <w:lang w:val="es-PE"/>
                    </w:rPr>
                    <w:t>3,9 (2,</w:t>
                  </w:r>
                  <w:r w:rsidR="007A59FB" w:rsidRPr="008A0BF5">
                    <w:rPr>
                      <w:rFonts w:eastAsia="Times New Roman"/>
                      <w:lang w:val="es-PE"/>
                    </w:rPr>
                    <w:t>8)</w:t>
                  </w:r>
                </w:p>
                <w:p w14:paraId="2FA7E2C7" w14:textId="77777777" w:rsidR="007A59FB" w:rsidRPr="008A0BF5" w:rsidRDefault="007A59FB" w:rsidP="007A59FB">
                  <w:pPr>
                    <w:jc w:val="center"/>
                    <w:rPr>
                      <w:rFonts w:eastAsia="Times New Roman"/>
                      <w:lang w:val="es-PE"/>
                    </w:rPr>
                  </w:pPr>
                </w:p>
              </w:tc>
              <w:tc>
                <w:tcPr>
                  <w:tcW w:w="1464" w:type="dxa"/>
                  <w:tcBorders>
                    <w:top w:val="nil"/>
                    <w:left w:val="nil"/>
                    <w:bottom w:val="single" w:sz="4" w:space="0" w:color="auto"/>
                    <w:right w:val="single" w:sz="4" w:space="0" w:color="auto"/>
                  </w:tcBorders>
                  <w:shd w:val="clear" w:color="auto" w:fill="auto"/>
                  <w:noWrap/>
                  <w:vAlign w:val="bottom"/>
                  <w:hideMark/>
                </w:tcPr>
                <w:p w14:paraId="56B3B81F" w14:textId="5496CCF6" w:rsidR="007A59FB" w:rsidRDefault="007A59FB" w:rsidP="007A59FB">
                  <w:pPr>
                    <w:rPr>
                      <w:rFonts w:eastAsia="Times New Roman"/>
                      <w:color w:val="000000"/>
                      <w:lang w:val="es-PE"/>
                    </w:rPr>
                  </w:pPr>
                  <w:r w:rsidRPr="008A0BF5">
                    <w:rPr>
                      <w:rFonts w:eastAsia="Times New Roman"/>
                      <w:color w:val="000000"/>
                      <w:lang w:val="es-PE"/>
                    </w:rPr>
                    <w:t xml:space="preserve">        </w:t>
                  </w:r>
                  <w:r>
                    <w:rPr>
                      <w:rFonts w:eastAsia="Times New Roman"/>
                      <w:color w:val="000000"/>
                      <w:lang w:val="es-PE"/>
                    </w:rPr>
                    <w:t xml:space="preserve"> </w:t>
                  </w:r>
                  <w:r w:rsidR="00357368">
                    <w:rPr>
                      <w:rFonts w:eastAsia="Times New Roman"/>
                      <w:color w:val="000000"/>
                      <w:lang w:val="es-PE"/>
                    </w:rPr>
                    <w:t xml:space="preserve"> -0,</w:t>
                  </w:r>
                  <w:r w:rsidRPr="008A0BF5">
                    <w:rPr>
                      <w:rFonts w:eastAsia="Times New Roman"/>
                      <w:color w:val="000000"/>
                      <w:lang w:val="es-PE"/>
                    </w:rPr>
                    <w:t>5</w:t>
                  </w:r>
                </w:p>
                <w:p w14:paraId="47AB6736" w14:textId="77777777" w:rsidR="007A59FB" w:rsidRPr="008A0BF5" w:rsidRDefault="007A59FB" w:rsidP="007A59FB">
                  <w:pPr>
                    <w:rPr>
                      <w:rFonts w:eastAsia="Times New Roman"/>
                      <w:color w:val="000000"/>
                      <w:lang w:val="es-PE"/>
                    </w:rPr>
                  </w:pPr>
                </w:p>
              </w:tc>
              <w:tc>
                <w:tcPr>
                  <w:tcW w:w="2248" w:type="dxa"/>
                  <w:tcBorders>
                    <w:top w:val="nil"/>
                    <w:left w:val="nil"/>
                    <w:bottom w:val="single" w:sz="4" w:space="0" w:color="auto"/>
                    <w:right w:val="single" w:sz="4" w:space="0" w:color="auto"/>
                  </w:tcBorders>
                  <w:shd w:val="clear" w:color="auto" w:fill="auto"/>
                  <w:noWrap/>
                  <w:vAlign w:val="bottom"/>
                  <w:hideMark/>
                </w:tcPr>
                <w:p w14:paraId="15A35651" w14:textId="1C62701D" w:rsidR="007A59FB" w:rsidRDefault="00357368" w:rsidP="007A59FB">
                  <w:pPr>
                    <w:jc w:val="center"/>
                    <w:rPr>
                      <w:rFonts w:eastAsia="Times New Roman"/>
                      <w:color w:val="000000"/>
                      <w:lang w:val="es-PE"/>
                    </w:rPr>
                  </w:pPr>
                  <w:r>
                    <w:rPr>
                      <w:rFonts w:eastAsia="Times New Roman"/>
                      <w:color w:val="000000"/>
                      <w:lang w:val="es-PE"/>
                    </w:rPr>
                    <w:t>1,</w:t>
                  </w:r>
                  <w:r w:rsidR="007A59FB" w:rsidRPr="008A0BF5">
                    <w:rPr>
                      <w:rFonts w:eastAsia="Times New Roman"/>
                      <w:color w:val="000000"/>
                      <w:lang w:val="es-PE"/>
                    </w:rPr>
                    <w:t>2</w:t>
                  </w:r>
                </w:p>
                <w:p w14:paraId="363310C8" w14:textId="77777777" w:rsidR="007A59FB" w:rsidRPr="008A0BF5" w:rsidRDefault="007A59FB" w:rsidP="007A59FB">
                  <w:pPr>
                    <w:jc w:val="center"/>
                    <w:rPr>
                      <w:rFonts w:eastAsia="Times New Roman"/>
                      <w:color w:val="000000"/>
                      <w:lang w:val="es-PE"/>
                    </w:rPr>
                  </w:pPr>
                </w:p>
              </w:tc>
            </w:tr>
            <w:tr w:rsidR="007A59FB" w:rsidRPr="00D068A6" w14:paraId="1F2772E6" w14:textId="77777777" w:rsidTr="002C7444">
              <w:trPr>
                <w:trHeight w:val="287"/>
              </w:trPr>
              <w:tc>
                <w:tcPr>
                  <w:tcW w:w="2043" w:type="dxa"/>
                  <w:tcBorders>
                    <w:top w:val="nil"/>
                    <w:left w:val="single" w:sz="4" w:space="0" w:color="auto"/>
                    <w:bottom w:val="single" w:sz="4" w:space="0" w:color="auto"/>
                    <w:right w:val="single" w:sz="4" w:space="0" w:color="auto"/>
                  </w:tcBorders>
                  <w:shd w:val="clear" w:color="auto" w:fill="auto"/>
                  <w:noWrap/>
                  <w:vAlign w:val="center"/>
                  <w:hideMark/>
                </w:tcPr>
                <w:p w14:paraId="0496C143" w14:textId="0504755E" w:rsidR="007A59FB" w:rsidRPr="00D068A6" w:rsidRDefault="007A59FB" w:rsidP="00BC0EBE">
                  <w:pPr>
                    <w:jc w:val="center"/>
                    <w:rPr>
                      <w:rFonts w:eastAsia="Times New Roman"/>
                      <w:lang w:val="es-PE"/>
                    </w:rPr>
                  </w:pPr>
                  <w:r w:rsidRPr="00D068A6">
                    <w:rPr>
                      <w:rFonts w:eastAsia="Times New Roman"/>
                      <w:lang w:val="es-PE"/>
                    </w:rPr>
                    <w:t xml:space="preserve">2016 </w:t>
                  </w:r>
                </w:p>
              </w:tc>
              <w:tc>
                <w:tcPr>
                  <w:tcW w:w="1403" w:type="dxa"/>
                  <w:tcBorders>
                    <w:top w:val="nil"/>
                    <w:left w:val="nil"/>
                    <w:bottom w:val="single" w:sz="4" w:space="0" w:color="auto"/>
                    <w:right w:val="single" w:sz="4" w:space="0" w:color="auto"/>
                  </w:tcBorders>
                  <w:shd w:val="clear" w:color="auto" w:fill="auto"/>
                  <w:noWrap/>
                  <w:vAlign w:val="center"/>
                  <w:hideMark/>
                </w:tcPr>
                <w:p w14:paraId="2680E0F6" w14:textId="41D8177C" w:rsidR="007A59FB" w:rsidRPr="00D068A6" w:rsidRDefault="00357368" w:rsidP="0005033C">
                  <w:pPr>
                    <w:jc w:val="center"/>
                    <w:rPr>
                      <w:rFonts w:eastAsia="Times New Roman"/>
                      <w:lang w:val="es-PE"/>
                    </w:rPr>
                  </w:pPr>
                  <w:r>
                    <w:rPr>
                      <w:rFonts w:eastAsia="Times New Roman"/>
                      <w:lang w:val="es-PE"/>
                    </w:rPr>
                    <w:t>1,</w:t>
                  </w:r>
                  <w:r w:rsidR="0005033C">
                    <w:rPr>
                      <w:rFonts w:eastAsia="Times New Roman"/>
                      <w:lang w:val="es-PE"/>
                    </w:rPr>
                    <w:t>5</w:t>
                  </w:r>
                </w:p>
              </w:tc>
              <w:tc>
                <w:tcPr>
                  <w:tcW w:w="1531" w:type="dxa"/>
                  <w:tcBorders>
                    <w:top w:val="nil"/>
                    <w:left w:val="nil"/>
                    <w:bottom w:val="single" w:sz="4" w:space="0" w:color="auto"/>
                    <w:right w:val="single" w:sz="4" w:space="0" w:color="auto"/>
                  </w:tcBorders>
                  <w:shd w:val="clear" w:color="auto" w:fill="auto"/>
                  <w:noWrap/>
                  <w:vAlign w:val="center"/>
                  <w:hideMark/>
                </w:tcPr>
                <w:p w14:paraId="39430AFE" w14:textId="10DCD738" w:rsidR="007A59FB" w:rsidRPr="00D068A6" w:rsidRDefault="00357368" w:rsidP="0005033C">
                  <w:pPr>
                    <w:jc w:val="center"/>
                    <w:rPr>
                      <w:rFonts w:eastAsia="Times New Roman"/>
                      <w:lang w:val="es-PE"/>
                    </w:rPr>
                  </w:pPr>
                  <w:r>
                    <w:rPr>
                      <w:rFonts w:eastAsia="Times New Roman"/>
                      <w:lang w:val="es-PE"/>
                    </w:rPr>
                    <w:t>0,</w:t>
                  </w:r>
                  <w:r w:rsidR="0005033C">
                    <w:rPr>
                      <w:rFonts w:eastAsia="Times New Roman"/>
                      <w:lang w:val="es-PE"/>
                    </w:rPr>
                    <w:t>1</w:t>
                  </w:r>
                  <w:r>
                    <w:rPr>
                      <w:rFonts w:eastAsia="Times New Roman"/>
                      <w:lang w:val="es-PE"/>
                    </w:rPr>
                    <w:t xml:space="preserve"> (0,</w:t>
                  </w:r>
                  <w:r w:rsidR="0005033C">
                    <w:rPr>
                      <w:rFonts w:eastAsia="Times New Roman"/>
                      <w:lang w:val="es-PE"/>
                    </w:rPr>
                    <w:t>0</w:t>
                  </w:r>
                  <w:r w:rsidR="007A59FB" w:rsidRPr="00D068A6">
                    <w:rPr>
                      <w:rFonts w:eastAsia="Times New Roman"/>
                      <w:lang w:val="es-PE"/>
                    </w:rPr>
                    <w:t>)</w:t>
                  </w:r>
                </w:p>
              </w:tc>
              <w:tc>
                <w:tcPr>
                  <w:tcW w:w="2042" w:type="dxa"/>
                  <w:tcBorders>
                    <w:top w:val="nil"/>
                    <w:left w:val="nil"/>
                    <w:bottom w:val="single" w:sz="4" w:space="0" w:color="auto"/>
                    <w:right w:val="single" w:sz="4" w:space="0" w:color="auto"/>
                  </w:tcBorders>
                  <w:shd w:val="clear" w:color="auto" w:fill="auto"/>
                  <w:noWrap/>
                  <w:vAlign w:val="center"/>
                  <w:hideMark/>
                </w:tcPr>
                <w:p w14:paraId="5C099301" w14:textId="2A7A4128" w:rsidR="007A59FB" w:rsidRPr="00D068A6" w:rsidRDefault="007A59FB" w:rsidP="0005033C">
                  <w:pPr>
                    <w:jc w:val="center"/>
                    <w:rPr>
                      <w:rFonts w:eastAsia="Times New Roman"/>
                      <w:lang w:val="es-PE"/>
                    </w:rPr>
                  </w:pPr>
                  <w:r>
                    <w:rPr>
                      <w:rFonts w:eastAsia="Times New Roman"/>
                      <w:lang w:val="es-PE"/>
                    </w:rPr>
                    <w:t xml:space="preserve">  </w:t>
                  </w:r>
                  <w:r w:rsidR="00357368">
                    <w:rPr>
                      <w:rFonts w:eastAsia="Times New Roman"/>
                      <w:lang w:val="es-PE"/>
                    </w:rPr>
                    <w:t>2,</w:t>
                  </w:r>
                  <w:r w:rsidR="0005033C">
                    <w:rPr>
                      <w:rFonts w:eastAsia="Times New Roman"/>
                      <w:lang w:val="es-PE"/>
                    </w:rPr>
                    <w:t>0</w:t>
                  </w:r>
                  <w:r w:rsidR="00357368">
                    <w:rPr>
                      <w:rFonts w:eastAsia="Times New Roman"/>
                      <w:lang w:val="es-PE"/>
                    </w:rPr>
                    <w:t xml:space="preserve"> (1,</w:t>
                  </w:r>
                  <w:r w:rsidR="0005033C">
                    <w:rPr>
                      <w:rFonts w:eastAsia="Times New Roman"/>
                      <w:lang w:val="es-PE"/>
                    </w:rPr>
                    <w:t>5</w:t>
                  </w:r>
                  <w:r w:rsidRPr="00D068A6">
                    <w:rPr>
                      <w:rFonts w:eastAsia="Times New Roman"/>
                      <w:lang w:val="es-PE"/>
                    </w:rPr>
                    <w:t>)</w:t>
                  </w:r>
                </w:p>
              </w:tc>
              <w:tc>
                <w:tcPr>
                  <w:tcW w:w="1464" w:type="dxa"/>
                  <w:tcBorders>
                    <w:top w:val="nil"/>
                    <w:left w:val="nil"/>
                    <w:bottom w:val="single" w:sz="4" w:space="0" w:color="auto"/>
                    <w:right w:val="single" w:sz="4" w:space="0" w:color="auto"/>
                  </w:tcBorders>
                  <w:shd w:val="clear" w:color="auto" w:fill="auto"/>
                  <w:noWrap/>
                  <w:vAlign w:val="center"/>
                  <w:hideMark/>
                </w:tcPr>
                <w:p w14:paraId="76597A4E" w14:textId="77777777" w:rsidR="007A59FB" w:rsidRPr="00D068A6" w:rsidRDefault="007A59FB" w:rsidP="007A59FB">
                  <w:pPr>
                    <w:jc w:val="center"/>
                    <w:rPr>
                      <w:rFonts w:eastAsia="Times New Roman"/>
                      <w:color w:val="000000"/>
                      <w:lang w:val="es-PE"/>
                    </w:rPr>
                  </w:pPr>
                  <w:r w:rsidRPr="00D068A6">
                    <w:rPr>
                      <w:rFonts w:eastAsia="Times New Roman"/>
                      <w:color w:val="000000"/>
                      <w:lang w:val="es-PE"/>
                    </w:rPr>
                    <w:t xml:space="preserve"> </w:t>
                  </w:r>
                </w:p>
              </w:tc>
              <w:tc>
                <w:tcPr>
                  <w:tcW w:w="2248" w:type="dxa"/>
                  <w:tcBorders>
                    <w:top w:val="nil"/>
                    <w:left w:val="nil"/>
                    <w:bottom w:val="single" w:sz="4" w:space="0" w:color="auto"/>
                    <w:right w:val="single" w:sz="4" w:space="0" w:color="auto"/>
                  </w:tcBorders>
                  <w:shd w:val="clear" w:color="auto" w:fill="auto"/>
                  <w:noWrap/>
                  <w:vAlign w:val="center"/>
                  <w:hideMark/>
                </w:tcPr>
                <w:p w14:paraId="61B60695" w14:textId="77777777" w:rsidR="007A59FB" w:rsidRPr="00B2489D" w:rsidRDefault="007A59FB" w:rsidP="007A59FB">
                  <w:pPr>
                    <w:jc w:val="center"/>
                    <w:rPr>
                      <w:rFonts w:eastAsia="Times New Roman"/>
                      <w:color w:val="000000"/>
                      <w:highlight w:val="yellow"/>
                      <w:lang w:val="es-PE"/>
                    </w:rPr>
                  </w:pPr>
                </w:p>
              </w:tc>
            </w:tr>
            <w:tr w:rsidR="007A59FB" w:rsidRPr="00D068A6" w14:paraId="20D46D23" w14:textId="77777777" w:rsidTr="002C7444">
              <w:trPr>
                <w:trHeight w:val="1017"/>
              </w:trPr>
              <w:tc>
                <w:tcPr>
                  <w:tcW w:w="10731" w:type="dxa"/>
                  <w:gridSpan w:val="6"/>
                  <w:tcBorders>
                    <w:top w:val="nil"/>
                    <w:left w:val="nil"/>
                    <w:bottom w:val="nil"/>
                    <w:right w:val="nil"/>
                  </w:tcBorders>
                  <w:shd w:val="clear" w:color="auto" w:fill="auto"/>
                  <w:vAlign w:val="center"/>
                  <w:hideMark/>
                </w:tcPr>
                <w:p w14:paraId="476FA331" w14:textId="409E176C" w:rsidR="007A59FB" w:rsidRPr="00D068A6" w:rsidRDefault="007A59FB" w:rsidP="00BC0EBE">
                  <w:pPr>
                    <w:jc w:val="both"/>
                    <w:rPr>
                      <w:rFonts w:eastAsia="Times New Roman"/>
                      <w:lang w:val="es-PE"/>
                    </w:rPr>
                  </w:pPr>
                  <w:r w:rsidRPr="00D068A6">
                    <w:rPr>
                      <w:rFonts w:eastAsia="Times New Roman"/>
                      <w:b/>
                      <w:bCs/>
                      <w:lang w:val="es-PE"/>
                    </w:rPr>
                    <w:t>Fuentes:</w:t>
                  </w:r>
                  <w:r w:rsidRPr="00D068A6">
                    <w:rPr>
                      <w:rFonts w:eastAsia="Times New Roman"/>
                      <w:lang w:val="es-PE"/>
                    </w:rPr>
                    <w:t xml:space="preserve"> Basado </w:t>
                  </w:r>
                  <w:r w:rsidR="00721F12">
                    <w:rPr>
                      <w:rFonts w:eastAsia="Times New Roman"/>
                      <w:lang w:val="es-PE"/>
                    </w:rPr>
                    <w:t xml:space="preserve">en </w:t>
                  </w:r>
                  <w:r w:rsidRPr="00D068A6">
                    <w:rPr>
                      <w:rFonts w:eastAsia="Times New Roman"/>
                      <w:lang w:val="es-PE"/>
                    </w:rPr>
                    <w:t xml:space="preserve">Ffrench-Davis (2014) para Chile, actualizado a 2015 con cifras del Banco Central del PBI y las Exportaciones, serie de referencia 2008. Para 2016, </w:t>
                  </w:r>
                  <w:r w:rsidR="0005033C">
                    <w:rPr>
                      <w:rFonts w:eastAsia="Times New Roman"/>
                      <w:lang w:val="es-PE"/>
                    </w:rPr>
                    <w:t>e</w:t>
                  </w:r>
                  <w:r w:rsidRPr="00D068A6">
                    <w:rPr>
                      <w:rFonts w:eastAsia="Times New Roman"/>
                      <w:lang w:val="es-PE"/>
                    </w:rPr>
                    <w:t>stima</w:t>
                  </w:r>
                  <w:r w:rsidR="00BC0EBE">
                    <w:rPr>
                      <w:rFonts w:eastAsia="Times New Roman"/>
                      <w:lang w:val="es-PE"/>
                    </w:rPr>
                    <w:t>ciones</w:t>
                  </w:r>
                  <w:r w:rsidRPr="00D068A6">
                    <w:rPr>
                      <w:rFonts w:eastAsia="Times New Roman"/>
                      <w:lang w:val="es-PE"/>
                    </w:rPr>
                    <w:t xml:space="preserve"> provisionales basa</w:t>
                  </w:r>
                  <w:r w:rsidR="0005033C">
                    <w:rPr>
                      <w:rFonts w:eastAsia="Times New Roman"/>
                      <w:lang w:val="es-PE"/>
                    </w:rPr>
                    <w:t>d</w:t>
                  </w:r>
                  <w:r w:rsidR="00BC0EBE">
                    <w:rPr>
                      <w:rFonts w:eastAsia="Times New Roman"/>
                      <w:lang w:val="es-PE"/>
                    </w:rPr>
                    <w:t>a</w:t>
                  </w:r>
                  <w:r w:rsidR="0005033C">
                    <w:rPr>
                      <w:rFonts w:eastAsia="Times New Roman"/>
                      <w:lang w:val="es-PE"/>
                    </w:rPr>
                    <w:t>s</w:t>
                  </w:r>
                  <w:r w:rsidRPr="00D068A6">
                    <w:rPr>
                      <w:rFonts w:eastAsia="Times New Roman"/>
                      <w:lang w:val="es-PE"/>
                    </w:rPr>
                    <w:t xml:space="preserve"> en</w:t>
                  </w:r>
                  <w:r w:rsidR="0005033C">
                    <w:rPr>
                      <w:rFonts w:eastAsia="Times New Roman"/>
                      <w:lang w:val="es-PE"/>
                    </w:rPr>
                    <w:t xml:space="preserve"> antecedentes del Banco Central en </w:t>
                  </w:r>
                  <w:r w:rsidRPr="00D068A6">
                    <w:rPr>
                      <w:rFonts w:eastAsia="Times New Roman"/>
                      <w:lang w:val="es-PE"/>
                    </w:rPr>
                    <w:t>se</w:t>
                  </w:r>
                  <w:r>
                    <w:rPr>
                      <w:rFonts w:eastAsia="Times New Roman"/>
                      <w:lang w:val="es-PE"/>
                    </w:rPr>
                    <w:t xml:space="preserve">ptiembre </w:t>
                  </w:r>
                  <w:r w:rsidR="0005033C">
                    <w:rPr>
                      <w:rFonts w:eastAsia="Times New Roman"/>
                      <w:lang w:val="es-PE"/>
                    </w:rPr>
                    <w:t xml:space="preserve">de </w:t>
                  </w:r>
                  <w:r>
                    <w:rPr>
                      <w:rFonts w:eastAsia="Times New Roman"/>
                      <w:lang w:val="es-PE"/>
                    </w:rPr>
                    <w:t>2016</w:t>
                  </w:r>
                  <w:r w:rsidR="0005033C">
                    <w:rPr>
                      <w:rFonts w:eastAsia="Times New Roman"/>
                      <w:lang w:val="es-PE"/>
                    </w:rPr>
                    <w:t>.</w:t>
                  </w:r>
                  <w:r>
                    <w:rPr>
                      <w:rFonts w:eastAsia="Times New Roman"/>
                      <w:lang w:val="es-PE"/>
                    </w:rPr>
                    <w:t xml:space="preserve">                                                                                                                                                                       </w:t>
                  </w:r>
                  <w:r w:rsidRPr="00D068A6">
                    <w:rPr>
                      <w:rFonts w:eastAsia="Times New Roman"/>
                      <w:lang w:val="es-PE"/>
                    </w:rPr>
                    <w:t xml:space="preserve"> Las cifras entre paréntesis indican la contribución de las exportaciones y </w:t>
                  </w:r>
                  <w:r>
                    <w:rPr>
                      <w:rFonts w:eastAsia="Times New Roman"/>
                      <w:lang w:val="es-PE"/>
                    </w:rPr>
                    <w:t>d</w:t>
                  </w:r>
                  <w:r w:rsidRPr="00D068A6">
                    <w:rPr>
                      <w:rFonts w:eastAsia="Times New Roman"/>
                      <w:lang w:val="es-PE"/>
                    </w:rPr>
                    <w:t>el resto del PBI a la tasa  anual de cambio del PBI total para cada período. Para América Latina, los datos fueron procesados por CEPAL para 19 países de América Latina</w:t>
                  </w:r>
                  <w:r>
                    <w:rPr>
                      <w:rFonts w:eastAsia="Times New Roman"/>
                      <w:lang w:val="es-PE"/>
                    </w:rPr>
                    <w:t xml:space="preserve"> en</w:t>
                  </w:r>
                  <w:r w:rsidRPr="00D068A6">
                    <w:rPr>
                      <w:rFonts w:eastAsia="Times New Roman"/>
                      <w:lang w:val="es-PE"/>
                    </w:rPr>
                    <w:t xml:space="preserve"> US$ constantes</w:t>
                  </w:r>
                  <w:r>
                    <w:rPr>
                      <w:rFonts w:eastAsia="Times New Roman"/>
                      <w:lang w:val="es-PE"/>
                    </w:rPr>
                    <w:t xml:space="preserve"> de 2010</w:t>
                  </w:r>
                  <w:r w:rsidRPr="00D068A6">
                    <w:rPr>
                      <w:rFonts w:eastAsia="Times New Roman"/>
                      <w:lang w:val="es-PE"/>
                    </w:rPr>
                    <w:t>.</w:t>
                  </w:r>
                </w:p>
              </w:tc>
            </w:tr>
            <w:tr w:rsidR="007A59FB" w:rsidRPr="00D068A6" w14:paraId="0CB89B15" w14:textId="77777777" w:rsidTr="002C7444">
              <w:trPr>
                <w:trHeight w:val="587"/>
              </w:trPr>
              <w:tc>
                <w:tcPr>
                  <w:tcW w:w="10731" w:type="dxa"/>
                  <w:gridSpan w:val="6"/>
                  <w:tcBorders>
                    <w:top w:val="nil"/>
                    <w:left w:val="nil"/>
                    <w:bottom w:val="nil"/>
                    <w:right w:val="nil"/>
                  </w:tcBorders>
                  <w:shd w:val="clear" w:color="auto" w:fill="auto"/>
                  <w:vAlign w:val="bottom"/>
                  <w:hideMark/>
                </w:tcPr>
                <w:p w14:paraId="106BA57E" w14:textId="77777777" w:rsidR="007A59FB" w:rsidRPr="00D068A6" w:rsidRDefault="007A59FB" w:rsidP="007A59FB">
                  <w:pPr>
                    <w:jc w:val="both"/>
                    <w:rPr>
                      <w:rFonts w:eastAsia="Times New Roman"/>
                      <w:color w:val="000000"/>
                      <w:lang w:val="es-PE"/>
                    </w:rPr>
                  </w:pPr>
                  <w:r w:rsidRPr="00D068A6">
                    <w:rPr>
                      <w:rFonts w:eastAsia="Times New Roman"/>
                      <w:color w:val="000000"/>
                      <w:lang w:val="es-PE"/>
                    </w:rPr>
                    <w:t xml:space="preserve">* El PBI </w:t>
                  </w:r>
                  <w:r>
                    <w:rPr>
                      <w:rFonts w:eastAsia="Times New Roman"/>
                      <w:color w:val="000000"/>
                      <w:lang w:val="es-PE"/>
                    </w:rPr>
                    <w:t>N</w:t>
                  </w:r>
                  <w:r w:rsidRPr="00D068A6">
                    <w:rPr>
                      <w:rFonts w:eastAsia="Times New Roman"/>
                      <w:color w:val="000000"/>
                      <w:lang w:val="es-PE"/>
                    </w:rPr>
                    <w:t>o</w:t>
                  </w:r>
                  <w:r>
                    <w:rPr>
                      <w:rFonts w:eastAsia="Times New Roman"/>
                      <w:color w:val="000000"/>
                      <w:lang w:val="es-PE"/>
                    </w:rPr>
                    <w:t>-</w:t>
                  </w:r>
                  <w:r w:rsidRPr="00D068A6">
                    <w:rPr>
                      <w:rFonts w:eastAsia="Times New Roman"/>
                      <w:color w:val="000000"/>
                      <w:lang w:val="es-PE"/>
                    </w:rPr>
                    <w:t>exporta</w:t>
                  </w:r>
                  <w:r>
                    <w:rPr>
                      <w:rFonts w:eastAsia="Times New Roman"/>
                      <w:color w:val="000000"/>
                      <w:lang w:val="es-PE"/>
                    </w:rPr>
                    <w:t>do</w:t>
                  </w:r>
                  <w:r w:rsidRPr="00D068A6">
                    <w:rPr>
                      <w:rFonts w:eastAsia="Times New Roman"/>
                      <w:color w:val="000000"/>
                      <w:lang w:val="es-PE"/>
                    </w:rPr>
                    <w:t xml:space="preserve"> es igual al PBI menos el contenido </w:t>
                  </w:r>
                  <w:r>
                    <w:rPr>
                      <w:rFonts w:eastAsia="Times New Roman"/>
                      <w:color w:val="000000"/>
                      <w:lang w:val="es-PE"/>
                    </w:rPr>
                    <w:t xml:space="preserve">interno </w:t>
                  </w:r>
                  <w:r w:rsidRPr="00D068A6">
                    <w:rPr>
                      <w:rFonts w:eastAsia="Times New Roman"/>
                      <w:color w:val="000000"/>
                      <w:lang w:val="es-PE"/>
                    </w:rPr>
                    <w:t>o valor agregado</w:t>
                  </w:r>
                  <w:r>
                    <w:rPr>
                      <w:rFonts w:eastAsia="Times New Roman"/>
                      <w:color w:val="000000"/>
                      <w:lang w:val="es-PE"/>
                    </w:rPr>
                    <w:t xml:space="preserve"> en Chile</w:t>
                  </w:r>
                  <w:r w:rsidRPr="00D068A6">
                    <w:rPr>
                      <w:rFonts w:eastAsia="Times New Roman"/>
                      <w:color w:val="000000"/>
                      <w:lang w:val="es-PE"/>
                    </w:rPr>
                    <w:t xml:space="preserve"> de las exportaciones. Se asume que los insumos importados de las exportaciones son iguales a la participación de las </w:t>
                  </w:r>
                  <w:r>
                    <w:rPr>
                      <w:rFonts w:eastAsia="Times New Roman"/>
                      <w:color w:val="000000"/>
                      <w:lang w:val="es-PE"/>
                    </w:rPr>
                    <w:t xml:space="preserve">importaciones de no consumo en </w:t>
                  </w:r>
                  <w:r w:rsidRPr="00D068A6">
                    <w:rPr>
                      <w:rFonts w:eastAsia="Times New Roman"/>
                      <w:color w:val="000000"/>
                      <w:lang w:val="es-PE"/>
                    </w:rPr>
                    <w:t>el PBI.</w:t>
                  </w:r>
                </w:p>
              </w:tc>
            </w:tr>
            <w:tr w:rsidR="007A59FB" w:rsidRPr="00D068A6" w14:paraId="380A32BB" w14:textId="77777777" w:rsidTr="002C7444">
              <w:trPr>
                <w:trHeight w:val="278"/>
              </w:trPr>
              <w:tc>
                <w:tcPr>
                  <w:tcW w:w="10731" w:type="dxa"/>
                  <w:gridSpan w:val="6"/>
                  <w:tcBorders>
                    <w:top w:val="nil"/>
                    <w:left w:val="nil"/>
                    <w:bottom w:val="nil"/>
                    <w:right w:val="nil"/>
                  </w:tcBorders>
                  <w:shd w:val="clear" w:color="auto" w:fill="auto"/>
                  <w:noWrap/>
                  <w:vAlign w:val="center"/>
                  <w:hideMark/>
                </w:tcPr>
                <w:p w14:paraId="212232F9" w14:textId="77777777" w:rsidR="007A59FB" w:rsidRPr="00D068A6" w:rsidRDefault="007A59FB" w:rsidP="007A59FB">
                  <w:pPr>
                    <w:jc w:val="both"/>
                    <w:rPr>
                      <w:rFonts w:eastAsia="Times New Roman"/>
                      <w:color w:val="000000"/>
                      <w:lang w:val="es-PE"/>
                    </w:rPr>
                  </w:pPr>
                </w:p>
              </w:tc>
            </w:tr>
          </w:tbl>
          <w:p w14:paraId="27CD232C" w14:textId="77777777" w:rsidR="007A59FB" w:rsidRDefault="007A59FB" w:rsidP="007A59FB">
            <w:pPr>
              <w:rPr>
                <w:lang w:val="es-PE"/>
              </w:rPr>
            </w:pPr>
          </w:p>
          <w:p w14:paraId="20376700" w14:textId="77777777" w:rsidR="00357368" w:rsidRDefault="00357368" w:rsidP="007A59FB">
            <w:pPr>
              <w:rPr>
                <w:lang w:val="es-PE"/>
              </w:rPr>
            </w:pPr>
          </w:p>
          <w:p w14:paraId="087737CE" w14:textId="77777777" w:rsidR="00357368" w:rsidRDefault="00357368" w:rsidP="007A59FB">
            <w:pPr>
              <w:rPr>
                <w:lang w:val="es-PE"/>
              </w:rPr>
            </w:pPr>
          </w:p>
          <w:p w14:paraId="03CB0EAD" w14:textId="77777777" w:rsidR="007A59FB" w:rsidRDefault="007A59FB" w:rsidP="007A59FB">
            <w:pPr>
              <w:rPr>
                <w:lang w:val="es-PE"/>
              </w:rPr>
            </w:pPr>
          </w:p>
          <w:p w14:paraId="1FFEC576" w14:textId="77777777" w:rsidR="007A59FB" w:rsidRDefault="007A59FB" w:rsidP="007A59FB">
            <w:pPr>
              <w:rPr>
                <w:lang w:val="es-PE"/>
              </w:rPr>
            </w:pPr>
          </w:p>
          <w:tbl>
            <w:tblPr>
              <w:tblW w:w="10983" w:type="dxa"/>
              <w:tblLook w:val="04A0" w:firstRow="1" w:lastRow="0" w:firstColumn="1" w:lastColumn="0" w:noHBand="0" w:noVBand="1"/>
            </w:tblPr>
            <w:tblGrid>
              <w:gridCol w:w="1834"/>
              <w:gridCol w:w="666"/>
              <w:gridCol w:w="666"/>
              <w:gridCol w:w="666"/>
              <w:gridCol w:w="666"/>
              <w:gridCol w:w="666"/>
              <w:gridCol w:w="666"/>
              <w:gridCol w:w="1272"/>
              <w:gridCol w:w="666"/>
              <w:gridCol w:w="666"/>
              <w:gridCol w:w="1272"/>
              <w:gridCol w:w="1277"/>
            </w:tblGrid>
            <w:tr w:rsidR="007A59FB" w:rsidRPr="00CB6F86" w14:paraId="2BE988F5" w14:textId="77777777" w:rsidTr="002C7444">
              <w:trPr>
                <w:trHeight w:val="292"/>
              </w:trPr>
              <w:tc>
                <w:tcPr>
                  <w:tcW w:w="10983" w:type="dxa"/>
                  <w:gridSpan w:val="12"/>
                  <w:tcBorders>
                    <w:top w:val="nil"/>
                    <w:left w:val="nil"/>
                    <w:bottom w:val="nil"/>
                    <w:right w:val="nil"/>
                  </w:tcBorders>
                  <w:shd w:val="clear" w:color="auto" w:fill="auto"/>
                  <w:noWrap/>
                  <w:vAlign w:val="center"/>
                  <w:hideMark/>
                </w:tcPr>
                <w:p w14:paraId="0BEA05B4" w14:textId="77777777" w:rsidR="007A59FB" w:rsidRPr="00CB6F86" w:rsidRDefault="007A59FB" w:rsidP="007A59FB">
                  <w:pPr>
                    <w:jc w:val="center"/>
                    <w:rPr>
                      <w:rFonts w:eastAsia="Times New Roman"/>
                      <w:b/>
                      <w:bCs/>
                      <w:color w:val="000000"/>
                      <w:sz w:val="24"/>
                      <w:szCs w:val="24"/>
                      <w:lang w:val="es-CL"/>
                    </w:rPr>
                  </w:pPr>
                  <w:r w:rsidRPr="00CB6F86">
                    <w:rPr>
                      <w:rFonts w:eastAsia="Times New Roman"/>
                      <w:b/>
                      <w:bCs/>
                      <w:color w:val="000000"/>
                      <w:sz w:val="24"/>
                      <w:szCs w:val="24"/>
                      <w:lang w:val="es-PE"/>
                    </w:rPr>
                    <w:t>Cuadro 2. Indicadores de desequilibrio fiscal, 2008-2015</w:t>
                  </w:r>
                </w:p>
              </w:tc>
            </w:tr>
            <w:tr w:rsidR="007A59FB" w:rsidRPr="00CB6F86" w14:paraId="316C7DFF" w14:textId="77777777" w:rsidTr="002C7444">
              <w:trPr>
                <w:trHeight w:val="292"/>
              </w:trPr>
              <w:tc>
                <w:tcPr>
                  <w:tcW w:w="10983" w:type="dxa"/>
                  <w:gridSpan w:val="12"/>
                  <w:tcBorders>
                    <w:top w:val="nil"/>
                    <w:left w:val="nil"/>
                    <w:bottom w:val="single" w:sz="8" w:space="0" w:color="auto"/>
                    <w:right w:val="nil"/>
                  </w:tcBorders>
                  <w:shd w:val="clear" w:color="auto" w:fill="auto"/>
                  <w:noWrap/>
                  <w:vAlign w:val="center"/>
                  <w:hideMark/>
                </w:tcPr>
                <w:p w14:paraId="3937EC2E" w14:textId="77777777" w:rsidR="007A59FB" w:rsidRPr="00CB6F86" w:rsidRDefault="007A59FB" w:rsidP="007A59FB">
                  <w:pPr>
                    <w:jc w:val="center"/>
                    <w:rPr>
                      <w:rFonts w:eastAsia="Times New Roman"/>
                      <w:color w:val="000000"/>
                      <w:lang w:val="es-CL"/>
                    </w:rPr>
                  </w:pPr>
                  <w:r w:rsidRPr="00CB6F86">
                    <w:rPr>
                      <w:rFonts w:eastAsia="Times New Roman"/>
                      <w:color w:val="000000"/>
                      <w:lang w:val="es-PE"/>
                    </w:rPr>
                    <w:t>(índices reales 2007=100; y promedios anuales de variación %)</w:t>
                  </w:r>
                </w:p>
              </w:tc>
            </w:tr>
            <w:tr w:rsidR="002C7444" w:rsidRPr="00CB6F86" w14:paraId="0862A0F0" w14:textId="77777777" w:rsidTr="002C7444">
              <w:trPr>
                <w:trHeight w:val="965"/>
              </w:trPr>
              <w:tc>
                <w:tcPr>
                  <w:tcW w:w="1834" w:type="dxa"/>
                  <w:tcBorders>
                    <w:top w:val="nil"/>
                    <w:left w:val="single" w:sz="8" w:space="0" w:color="auto"/>
                    <w:bottom w:val="single" w:sz="8" w:space="0" w:color="auto"/>
                    <w:right w:val="nil"/>
                  </w:tcBorders>
                  <w:shd w:val="clear" w:color="000000" w:fill="BFBFBF"/>
                  <w:noWrap/>
                  <w:vAlign w:val="center"/>
                  <w:hideMark/>
                </w:tcPr>
                <w:p w14:paraId="2A2A7EF2" w14:textId="77777777" w:rsidR="007A59FB" w:rsidRPr="00CB6F86" w:rsidRDefault="007A59FB" w:rsidP="007A59FB">
                  <w:pPr>
                    <w:rPr>
                      <w:rFonts w:eastAsia="Times New Roman"/>
                      <w:b/>
                      <w:bCs/>
                      <w:color w:val="000000"/>
                      <w:lang w:val="es-CL"/>
                    </w:rPr>
                  </w:pPr>
                  <w:r w:rsidRPr="00CB6F86">
                    <w:rPr>
                      <w:rFonts w:eastAsia="Times New Roman"/>
                      <w:b/>
                      <w:bCs/>
                      <w:color w:val="000000"/>
                      <w:lang w:val="es-PE"/>
                    </w:rPr>
                    <w:t> </w:t>
                  </w:r>
                </w:p>
              </w:tc>
              <w:tc>
                <w:tcPr>
                  <w:tcW w:w="666" w:type="dxa"/>
                  <w:tcBorders>
                    <w:top w:val="nil"/>
                    <w:left w:val="nil"/>
                    <w:bottom w:val="single" w:sz="8" w:space="0" w:color="auto"/>
                    <w:right w:val="nil"/>
                  </w:tcBorders>
                  <w:shd w:val="clear" w:color="000000" w:fill="BFBFBF"/>
                  <w:noWrap/>
                  <w:vAlign w:val="center"/>
                  <w:hideMark/>
                </w:tcPr>
                <w:p w14:paraId="3B54E58D"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2008</w:t>
                  </w:r>
                </w:p>
              </w:tc>
              <w:tc>
                <w:tcPr>
                  <w:tcW w:w="666" w:type="dxa"/>
                  <w:tcBorders>
                    <w:top w:val="nil"/>
                    <w:left w:val="nil"/>
                    <w:bottom w:val="single" w:sz="8" w:space="0" w:color="auto"/>
                    <w:right w:val="nil"/>
                  </w:tcBorders>
                  <w:shd w:val="clear" w:color="000000" w:fill="BFBFBF"/>
                  <w:noWrap/>
                  <w:vAlign w:val="center"/>
                  <w:hideMark/>
                </w:tcPr>
                <w:p w14:paraId="42F731AE"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2009</w:t>
                  </w:r>
                </w:p>
              </w:tc>
              <w:tc>
                <w:tcPr>
                  <w:tcW w:w="666" w:type="dxa"/>
                  <w:tcBorders>
                    <w:top w:val="nil"/>
                    <w:left w:val="nil"/>
                    <w:bottom w:val="single" w:sz="8" w:space="0" w:color="auto"/>
                    <w:right w:val="nil"/>
                  </w:tcBorders>
                  <w:shd w:val="clear" w:color="000000" w:fill="BFBFBF"/>
                  <w:noWrap/>
                  <w:vAlign w:val="center"/>
                  <w:hideMark/>
                </w:tcPr>
                <w:p w14:paraId="2039C9CA"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2010</w:t>
                  </w:r>
                </w:p>
              </w:tc>
              <w:tc>
                <w:tcPr>
                  <w:tcW w:w="666" w:type="dxa"/>
                  <w:tcBorders>
                    <w:top w:val="nil"/>
                    <w:left w:val="nil"/>
                    <w:bottom w:val="single" w:sz="8" w:space="0" w:color="auto"/>
                    <w:right w:val="nil"/>
                  </w:tcBorders>
                  <w:shd w:val="clear" w:color="000000" w:fill="BFBFBF"/>
                  <w:noWrap/>
                  <w:vAlign w:val="center"/>
                  <w:hideMark/>
                </w:tcPr>
                <w:p w14:paraId="63FEFB3C"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2011</w:t>
                  </w:r>
                </w:p>
              </w:tc>
              <w:tc>
                <w:tcPr>
                  <w:tcW w:w="666" w:type="dxa"/>
                  <w:tcBorders>
                    <w:top w:val="nil"/>
                    <w:left w:val="nil"/>
                    <w:bottom w:val="single" w:sz="8" w:space="0" w:color="auto"/>
                    <w:right w:val="nil"/>
                  </w:tcBorders>
                  <w:shd w:val="clear" w:color="000000" w:fill="BFBFBF"/>
                  <w:noWrap/>
                  <w:vAlign w:val="center"/>
                  <w:hideMark/>
                </w:tcPr>
                <w:p w14:paraId="47F9171F"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2012</w:t>
                  </w:r>
                </w:p>
              </w:tc>
              <w:tc>
                <w:tcPr>
                  <w:tcW w:w="666" w:type="dxa"/>
                  <w:tcBorders>
                    <w:top w:val="nil"/>
                    <w:left w:val="nil"/>
                    <w:bottom w:val="single" w:sz="8" w:space="0" w:color="auto"/>
                    <w:right w:val="nil"/>
                  </w:tcBorders>
                  <w:shd w:val="clear" w:color="000000" w:fill="BFBFBF"/>
                  <w:noWrap/>
                  <w:vAlign w:val="center"/>
                  <w:hideMark/>
                </w:tcPr>
                <w:p w14:paraId="39F8D070"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2013</w:t>
                  </w:r>
                </w:p>
              </w:tc>
              <w:tc>
                <w:tcPr>
                  <w:tcW w:w="1272" w:type="dxa"/>
                  <w:tcBorders>
                    <w:top w:val="nil"/>
                    <w:left w:val="nil"/>
                    <w:bottom w:val="single" w:sz="8" w:space="0" w:color="auto"/>
                    <w:right w:val="nil"/>
                  </w:tcBorders>
                  <w:shd w:val="clear" w:color="000000" w:fill="BFBFBF"/>
                  <w:vAlign w:val="center"/>
                  <w:hideMark/>
                </w:tcPr>
                <w:p w14:paraId="196119CE"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Crecimiento promedio anual (%) 2008-2013</w:t>
                  </w:r>
                </w:p>
              </w:tc>
              <w:tc>
                <w:tcPr>
                  <w:tcW w:w="666" w:type="dxa"/>
                  <w:tcBorders>
                    <w:top w:val="nil"/>
                    <w:left w:val="nil"/>
                    <w:bottom w:val="single" w:sz="8" w:space="0" w:color="auto"/>
                    <w:right w:val="nil"/>
                  </w:tcBorders>
                  <w:shd w:val="clear" w:color="000000" w:fill="BFBFBF"/>
                  <w:noWrap/>
                  <w:vAlign w:val="center"/>
                  <w:hideMark/>
                </w:tcPr>
                <w:p w14:paraId="3D27A165"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2014</w:t>
                  </w:r>
                </w:p>
              </w:tc>
              <w:tc>
                <w:tcPr>
                  <w:tcW w:w="666" w:type="dxa"/>
                  <w:tcBorders>
                    <w:top w:val="nil"/>
                    <w:left w:val="nil"/>
                    <w:bottom w:val="single" w:sz="8" w:space="0" w:color="auto"/>
                    <w:right w:val="nil"/>
                  </w:tcBorders>
                  <w:shd w:val="clear" w:color="000000" w:fill="BFBFBF"/>
                  <w:noWrap/>
                  <w:vAlign w:val="center"/>
                  <w:hideMark/>
                </w:tcPr>
                <w:p w14:paraId="346763F4"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2015</w:t>
                  </w:r>
                </w:p>
              </w:tc>
              <w:tc>
                <w:tcPr>
                  <w:tcW w:w="1272" w:type="dxa"/>
                  <w:tcBorders>
                    <w:top w:val="nil"/>
                    <w:left w:val="nil"/>
                    <w:bottom w:val="single" w:sz="8" w:space="0" w:color="auto"/>
                    <w:right w:val="nil"/>
                  </w:tcBorders>
                  <w:shd w:val="clear" w:color="000000" w:fill="BFBFBF"/>
                  <w:vAlign w:val="center"/>
                  <w:hideMark/>
                </w:tcPr>
                <w:p w14:paraId="7D724D52"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Crecimiento promedio anual (%) 2014-2015</w:t>
                  </w:r>
                </w:p>
              </w:tc>
              <w:tc>
                <w:tcPr>
                  <w:tcW w:w="1272" w:type="dxa"/>
                  <w:tcBorders>
                    <w:top w:val="nil"/>
                    <w:left w:val="nil"/>
                    <w:bottom w:val="single" w:sz="8" w:space="0" w:color="auto"/>
                    <w:right w:val="single" w:sz="8" w:space="0" w:color="auto"/>
                  </w:tcBorders>
                  <w:shd w:val="clear" w:color="000000" w:fill="BFBFBF"/>
                  <w:vAlign w:val="center"/>
                  <w:hideMark/>
                </w:tcPr>
                <w:p w14:paraId="250D4025"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Crecimiento promedio anual (%) 2008-2015</w:t>
                  </w:r>
                </w:p>
              </w:tc>
            </w:tr>
            <w:tr w:rsidR="002C7444" w:rsidRPr="00CB6F86" w14:paraId="4FCCC7C9" w14:textId="77777777" w:rsidTr="002C7444">
              <w:trPr>
                <w:trHeight w:val="278"/>
              </w:trPr>
              <w:tc>
                <w:tcPr>
                  <w:tcW w:w="1834" w:type="dxa"/>
                  <w:tcBorders>
                    <w:top w:val="nil"/>
                    <w:left w:val="single" w:sz="8" w:space="0" w:color="auto"/>
                    <w:bottom w:val="nil"/>
                    <w:right w:val="nil"/>
                  </w:tcBorders>
                  <w:shd w:val="clear" w:color="000000" w:fill="FFFFFF"/>
                  <w:noWrap/>
                  <w:vAlign w:val="center"/>
                  <w:hideMark/>
                </w:tcPr>
                <w:p w14:paraId="4AC4D454" w14:textId="77777777" w:rsidR="007A59FB" w:rsidRPr="00CB6F86" w:rsidRDefault="007A59FB" w:rsidP="007A59FB">
                  <w:pPr>
                    <w:rPr>
                      <w:rFonts w:eastAsia="Times New Roman"/>
                      <w:color w:val="000000"/>
                      <w:lang w:val="en-US"/>
                    </w:rPr>
                  </w:pPr>
                  <w:r w:rsidRPr="00CB6F86">
                    <w:rPr>
                      <w:rFonts w:eastAsia="Times New Roman"/>
                      <w:color w:val="000000"/>
                      <w:lang w:val="es-PE"/>
                    </w:rPr>
                    <w:t>1. PIB</w:t>
                  </w:r>
                </w:p>
              </w:tc>
              <w:tc>
                <w:tcPr>
                  <w:tcW w:w="666" w:type="dxa"/>
                  <w:tcBorders>
                    <w:top w:val="nil"/>
                    <w:left w:val="single" w:sz="8" w:space="0" w:color="auto"/>
                    <w:bottom w:val="nil"/>
                    <w:right w:val="single" w:sz="8" w:space="0" w:color="auto"/>
                  </w:tcBorders>
                  <w:shd w:val="clear" w:color="000000" w:fill="FFFFFF"/>
                  <w:vAlign w:val="center"/>
                  <w:hideMark/>
                </w:tcPr>
                <w:p w14:paraId="7C127CBE"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103,7</w:t>
                  </w:r>
                </w:p>
              </w:tc>
              <w:tc>
                <w:tcPr>
                  <w:tcW w:w="666" w:type="dxa"/>
                  <w:tcBorders>
                    <w:top w:val="nil"/>
                    <w:left w:val="nil"/>
                    <w:bottom w:val="nil"/>
                    <w:right w:val="single" w:sz="8" w:space="0" w:color="auto"/>
                  </w:tcBorders>
                  <w:shd w:val="clear" w:color="000000" w:fill="FFFFFF"/>
                  <w:vAlign w:val="center"/>
                  <w:hideMark/>
                </w:tcPr>
                <w:p w14:paraId="6C488A3E"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102,6</w:t>
                  </w:r>
                </w:p>
              </w:tc>
              <w:tc>
                <w:tcPr>
                  <w:tcW w:w="666" w:type="dxa"/>
                  <w:tcBorders>
                    <w:top w:val="nil"/>
                    <w:left w:val="nil"/>
                    <w:bottom w:val="nil"/>
                    <w:right w:val="single" w:sz="8" w:space="0" w:color="auto"/>
                  </w:tcBorders>
                  <w:shd w:val="clear" w:color="000000" w:fill="FFFFFF"/>
                  <w:vAlign w:val="center"/>
                  <w:hideMark/>
                </w:tcPr>
                <w:p w14:paraId="35EC6B3A"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108,5</w:t>
                  </w:r>
                </w:p>
              </w:tc>
              <w:tc>
                <w:tcPr>
                  <w:tcW w:w="666" w:type="dxa"/>
                  <w:tcBorders>
                    <w:top w:val="nil"/>
                    <w:left w:val="nil"/>
                    <w:bottom w:val="nil"/>
                    <w:right w:val="single" w:sz="8" w:space="0" w:color="auto"/>
                  </w:tcBorders>
                  <w:shd w:val="clear" w:color="000000" w:fill="FFFFFF"/>
                  <w:vAlign w:val="center"/>
                  <w:hideMark/>
                </w:tcPr>
                <w:p w14:paraId="49DA6FE7"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114,8</w:t>
                  </w:r>
                </w:p>
              </w:tc>
              <w:tc>
                <w:tcPr>
                  <w:tcW w:w="666" w:type="dxa"/>
                  <w:tcBorders>
                    <w:top w:val="nil"/>
                    <w:left w:val="nil"/>
                    <w:bottom w:val="nil"/>
                    <w:right w:val="single" w:sz="8" w:space="0" w:color="auto"/>
                  </w:tcBorders>
                  <w:shd w:val="clear" w:color="000000" w:fill="FFFFFF"/>
                  <w:vAlign w:val="center"/>
                  <w:hideMark/>
                </w:tcPr>
                <w:p w14:paraId="5C03D6F8" w14:textId="24D95BB6" w:rsidR="007A59FB" w:rsidRPr="00CB6F86" w:rsidRDefault="007A59FB" w:rsidP="007A59FB">
                  <w:pPr>
                    <w:jc w:val="center"/>
                    <w:rPr>
                      <w:rFonts w:eastAsia="Times New Roman"/>
                      <w:color w:val="000000"/>
                      <w:lang w:val="en-US"/>
                    </w:rPr>
                  </w:pPr>
                  <w:r w:rsidRPr="00CB6F86">
                    <w:rPr>
                      <w:rFonts w:eastAsia="Times New Roman"/>
                      <w:color w:val="000000"/>
                      <w:lang w:val="es-PE"/>
                    </w:rPr>
                    <w:t>121</w:t>
                  </w:r>
                  <w:r w:rsidR="00357368">
                    <w:rPr>
                      <w:rFonts w:eastAsia="Times New Roman"/>
                      <w:color w:val="000000"/>
                      <w:lang w:val="es-PE"/>
                    </w:rPr>
                    <w:t>,0</w:t>
                  </w:r>
                </w:p>
              </w:tc>
              <w:tc>
                <w:tcPr>
                  <w:tcW w:w="666" w:type="dxa"/>
                  <w:tcBorders>
                    <w:top w:val="nil"/>
                    <w:left w:val="nil"/>
                    <w:bottom w:val="nil"/>
                    <w:right w:val="single" w:sz="8" w:space="0" w:color="auto"/>
                  </w:tcBorders>
                  <w:shd w:val="clear" w:color="000000" w:fill="FFFFFF"/>
                  <w:vAlign w:val="center"/>
                  <w:hideMark/>
                </w:tcPr>
                <w:p w14:paraId="1A5AD112"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125,9</w:t>
                  </w:r>
                </w:p>
              </w:tc>
              <w:tc>
                <w:tcPr>
                  <w:tcW w:w="1272" w:type="dxa"/>
                  <w:tcBorders>
                    <w:top w:val="nil"/>
                    <w:left w:val="nil"/>
                    <w:bottom w:val="nil"/>
                    <w:right w:val="single" w:sz="8" w:space="0" w:color="auto"/>
                  </w:tcBorders>
                  <w:shd w:val="clear" w:color="000000" w:fill="FFFFFF"/>
                  <w:vAlign w:val="center"/>
                  <w:hideMark/>
                </w:tcPr>
                <w:p w14:paraId="29136560"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3,9</w:t>
                  </w:r>
                </w:p>
              </w:tc>
              <w:tc>
                <w:tcPr>
                  <w:tcW w:w="666" w:type="dxa"/>
                  <w:tcBorders>
                    <w:top w:val="nil"/>
                    <w:left w:val="nil"/>
                    <w:bottom w:val="nil"/>
                    <w:right w:val="single" w:sz="8" w:space="0" w:color="auto"/>
                  </w:tcBorders>
                  <w:shd w:val="clear" w:color="000000" w:fill="FFFFFF"/>
                  <w:vAlign w:val="center"/>
                  <w:hideMark/>
                </w:tcPr>
                <w:p w14:paraId="6824D270"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128,3</w:t>
                  </w:r>
                </w:p>
              </w:tc>
              <w:tc>
                <w:tcPr>
                  <w:tcW w:w="666" w:type="dxa"/>
                  <w:tcBorders>
                    <w:top w:val="nil"/>
                    <w:left w:val="nil"/>
                    <w:bottom w:val="nil"/>
                    <w:right w:val="nil"/>
                  </w:tcBorders>
                  <w:shd w:val="clear" w:color="000000" w:fill="FFFFFF"/>
                  <w:vAlign w:val="center"/>
                  <w:hideMark/>
                </w:tcPr>
                <w:p w14:paraId="67AA063A"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131,2</w:t>
                  </w:r>
                </w:p>
              </w:tc>
              <w:tc>
                <w:tcPr>
                  <w:tcW w:w="1272" w:type="dxa"/>
                  <w:tcBorders>
                    <w:top w:val="nil"/>
                    <w:left w:val="single" w:sz="8" w:space="0" w:color="auto"/>
                    <w:bottom w:val="nil"/>
                    <w:right w:val="single" w:sz="8" w:space="0" w:color="auto"/>
                  </w:tcBorders>
                  <w:shd w:val="clear" w:color="auto" w:fill="auto"/>
                  <w:noWrap/>
                  <w:vAlign w:val="center"/>
                  <w:hideMark/>
                </w:tcPr>
                <w:p w14:paraId="00BDBC5C"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2,1</w:t>
                  </w:r>
                </w:p>
              </w:tc>
              <w:tc>
                <w:tcPr>
                  <w:tcW w:w="1272" w:type="dxa"/>
                  <w:tcBorders>
                    <w:top w:val="nil"/>
                    <w:left w:val="nil"/>
                    <w:bottom w:val="nil"/>
                    <w:right w:val="single" w:sz="8" w:space="0" w:color="auto"/>
                  </w:tcBorders>
                  <w:shd w:val="clear" w:color="auto" w:fill="auto"/>
                  <w:noWrap/>
                  <w:vAlign w:val="center"/>
                  <w:hideMark/>
                </w:tcPr>
                <w:p w14:paraId="09EFCE5F"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3,5</w:t>
                  </w:r>
                </w:p>
              </w:tc>
            </w:tr>
            <w:tr w:rsidR="002C7444" w:rsidRPr="00CB6F86" w14:paraId="33117045" w14:textId="77777777" w:rsidTr="002C7444">
              <w:trPr>
                <w:trHeight w:val="278"/>
              </w:trPr>
              <w:tc>
                <w:tcPr>
                  <w:tcW w:w="1834" w:type="dxa"/>
                  <w:tcBorders>
                    <w:top w:val="nil"/>
                    <w:left w:val="single" w:sz="8" w:space="0" w:color="auto"/>
                    <w:bottom w:val="nil"/>
                    <w:right w:val="nil"/>
                  </w:tcBorders>
                  <w:shd w:val="clear" w:color="000000" w:fill="FFFFFF"/>
                  <w:noWrap/>
                  <w:vAlign w:val="center"/>
                  <w:hideMark/>
                </w:tcPr>
                <w:p w14:paraId="7E1954FA" w14:textId="77777777" w:rsidR="007A59FB" w:rsidRPr="00CB6F86" w:rsidRDefault="007A59FB" w:rsidP="007A59FB">
                  <w:pPr>
                    <w:rPr>
                      <w:rFonts w:eastAsia="Times New Roman"/>
                      <w:color w:val="000000"/>
                      <w:lang w:val="en-US"/>
                    </w:rPr>
                  </w:pPr>
                  <w:r w:rsidRPr="00CB6F86">
                    <w:rPr>
                      <w:rFonts w:eastAsia="Times New Roman"/>
                      <w:color w:val="000000"/>
                      <w:lang w:val="es-PE"/>
                    </w:rPr>
                    <w:t>2. Gasto fiscal real</w:t>
                  </w:r>
                </w:p>
              </w:tc>
              <w:tc>
                <w:tcPr>
                  <w:tcW w:w="666" w:type="dxa"/>
                  <w:tcBorders>
                    <w:top w:val="nil"/>
                    <w:left w:val="single" w:sz="8" w:space="0" w:color="auto"/>
                    <w:bottom w:val="nil"/>
                    <w:right w:val="single" w:sz="8" w:space="0" w:color="auto"/>
                  </w:tcBorders>
                  <w:shd w:val="clear" w:color="000000" w:fill="FFFFFF"/>
                  <w:vAlign w:val="center"/>
                  <w:hideMark/>
                </w:tcPr>
                <w:p w14:paraId="2CDDF302"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109,3</w:t>
                  </w:r>
                </w:p>
              </w:tc>
              <w:tc>
                <w:tcPr>
                  <w:tcW w:w="666" w:type="dxa"/>
                  <w:tcBorders>
                    <w:top w:val="nil"/>
                    <w:left w:val="nil"/>
                    <w:bottom w:val="nil"/>
                    <w:right w:val="single" w:sz="8" w:space="0" w:color="auto"/>
                  </w:tcBorders>
                  <w:shd w:val="clear" w:color="000000" w:fill="FFFFFF"/>
                  <w:vAlign w:val="center"/>
                  <w:hideMark/>
                </w:tcPr>
                <w:p w14:paraId="59C054B0"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127,4</w:t>
                  </w:r>
                </w:p>
              </w:tc>
              <w:tc>
                <w:tcPr>
                  <w:tcW w:w="666" w:type="dxa"/>
                  <w:tcBorders>
                    <w:top w:val="nil"/>
                    <w:left w:val="nil"/>
                    <w:bottom w:val="nil"/>
                    <w:right w:val="single" w:sz="8" w:space="0" w:color="auto"/>
                  </w:tcBorders>
                  <w:shd w:val="clear" w:color="000000" w:fill="FFFFFF"/>
                  <w:vAlign w:val="center"/>
                  <w:hideMark/>
                </w:tcPr>
                <w:p w14:paraId="427DD049"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135,7</w:t>
                  </w:r>
                </w:p>
              </w:tc>
              <w:tc>
                <w:tcPr>
                  <w:tcW w:w="666" w:type="dxa"/>
                  <w:tcBorders>
                    <w:top w:val="nil"/>
                    <w:left w:val="nil"/>
                    <w:bottom w:val="nil"/>
                    <w:right w:val="single" w:sz="8" w:space="0" w:color="auto"/>
                  </w:tcBorders>
                  <w:shd w:val="clear" w:color="000000" w:fill="FFFFFF"/>
                  <w:vAlign w:val="center"/>
                  <w:hideMark/>
                </w:tcPr>
                <w:p w14:paraId="6FAC4D05"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139,9</w:t>
                  </w:r>
                </w:p>
              </w:tc>
              <w:tc>
                <w:tcPr>
                  <w:tcW w:w="666" w:type="dxa"/>
                  <w:tcBorders>
                    <w:top w:val="nil"/>
                    <w:left w:val="nil"/>
                    <w:bottom w:val="nil"/>
                    <w:right w:val="single" w:sz="8" w:space="0" w:color="auto"/>
                  </w:tcBorders>
                  <w:shd w:val="clear" w:color="000000" w:fill="FFFFFF"/>
                  <w:vAlign w:val="center"/>
                  <w:hideMark/>
                </w:tcPr>
                <w:p w14:paraId="4013A41D"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146,5</w:t>
                  </w:r>
                </w:p>
              </w:tc>
              <w:tc>
                <w:tcPr>
                  <w:tcW w:w="666" w:type="dxa"/>
                  <w:tcBorders>
                    <w:top w:val="nil"/>
                    <w:left w:val="nil"/>
                    <w:bottom w:val="nil"/>
                    <w:right w:val="single" w:sz="8" w:space="0" w:color="auto"/>
                  </w:tcBorders>
                  <w:shd w:val="clear" w:color="000000" w:fill="FFFFFF"/>
                  <w:vAlign w:val="center"/>
                  <w:hideMark/>
                </w:tcPr>
                <w:p w14:paraId="4C8BCA92"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152,4</w:t>
                  </w:r>
                </w:p>
              </w:tc>
              <w:tc>
                <w:tcPr>
                  <w:tcW w:w="1272" w:type="dxa"/>
                  <w:tcBorders>
                    <w:top w:val="nil"/>
                    <w:left w:val="nil"/>
                    <w:bottom w:val="nil"/>
                    <w:right w:val="single" w:sz="8" w:space="0" w:color="auto"/>
                  </w:tcBorders>
                  <w:shd w:val="clear" w:color="000000" w:fill="FFFFFF"/>
                  <w:vAlign w:val="center"/>
                  <w:hideMark/>
                </w:tcPr>
                <w:p w14:paraId="29E71B4E"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7,3</w:t>
                  </w:r>
                </w:p>
              </w:tc>
              <w:tc>
                <w:tcPr>
                  <w:tcW w:w="666" w:type="dxa"/>
                  <w:tcBorders>
                    <w:top w:val="nil"/>
                    <w:left w:val="nil"/>
                    <w:bottom w:val="nil"/>
                    <w:right w:val="single" w:sz="8" w:space="0" w:color="auto"/>
                  </w:tcBorders>
                  <w:shd w:val="clear" w:color="000000" w:fill="FFFFFF"/>
                  <w:vAlign w:val="center"/>
                  <w:hideMark/>
                </w:tcPr>
                <w:p w14:paraId="220F5821"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161,7</w:t>
                  </w:r>
                </w:p>
              </w:tc>
              <w:tc>
                <w:tcPr>
                  <w:tcW w:w="666" w:type="dxa"/>
                  <w:tcBorders>
                    <w:top w:val="nil"/>
                    <w:left w:val="nil"/>
                    <w:bottom w:val="nil"/>
                    <w:right w:val="nil"/>
                  </w:tcBorders>
                  <w:shd w:val="clear" w:color="000000" w:fill="FFFFFF"/>
                  <w:vAlign w:val="center"/>
                  <w:hideMark/>
                </w:tcPr>
                <w:p w14:paraId="41B4A6D5"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173,7</w:t>
                  </w:r>
                </w:p>
              </w:tc>
              <w:tc>
                <w:tcPr>
                  <w:tcW w:w="1272" w:type="dxa"/>
                  <w:tcBorders>
                    <w:top w:val="nil"/>
                    <w:left w:val="single" w:sz="8" w:space="0" w:color="auto"/>
                    <w:bottom w:val="nil"/>
                    <w:right w:val="single" w:sz="8" w:space="0" w:color="auto"/>
                  </w:tcBorders>
                  <w:shd w:val="clear" w:color="auto" w:fill="auto"/>
                  <w:noWrap/>
                  <w:vAlign w:val="center"/>
                  <w:hideMark/>
                </w:tcPr>
                <w:p w14:paraId="4A70FFBC"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6,8</w:t>
                  </w:r>
                </w:p>
              </w:tc>
              <w:tc>
                <w:tcPr>
                  <w:tcW w:w="1272" w:type="dxa"/>
                  <w:tcBorders>
                    <w:top w:val="nil"/>
                    <w:left w:val="nil"/>
                    <w:bottom w:val="nil"/>
                    <w:right w:val="single" w:sz="8" w:space="0" w:color="auto"/>
                  </w:tcBorders>
                  <w:shd w:val="clear" w:color="auto" w:fill="auto"/>
                  <w:noWrap/>
                  <w:vAlign w:val="center"/>
                  <w:hideMark/>
                </w:tcPr>
                <w:p w14:paraId="6C0FBEA3"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7,1</w:t>
                  </w:r>
                </w:p>
              </w:tc>
            </w:tr>
            <w:tr w:rsidR="002C7444" w:rsidRPr="00CB6F86" w14:paraId="0EDB2E74" w14:textId="77777777" w:rsidTr="002C7444">
              <w:trPr>
                <w:trHeight w:val="278"/>
              </w:trPr>
              <w:tc>
                <w:tcPr>
                  <w:tcW w:w="1834" w:type="dxa"/>
                  <w:tcBorders>
                    <w:top w:val="nil"/>
                    <w:left w:val="single" w:sz="8" w:space="0" w:color="auto"/>
                    <w:bottom w:val="nil"/>
                    <w:right w:val="nil"/>
                  </w:tcBorders>
                  <w:shd w:val="clear" w:color="000000" w:fill="FFFFFF"/>
                  <w:noWrap/>
                  <w:vAlign w:val="center"/>
                  <w:hideMark/>
                </w:tcPr>
                <w:p w14:paraId="3F0CE70D" w14:textId="77777777" w:rsidR="007A59FB" w:rsidRPr="00CB6F86" w:rsidRDefault="007A59FB" w:rsidP="007A59FB">
                  <w:pPr>
                    <w:rPr>
                      <w:rFonts w:eastAsia="Times New Roman"/>
                      <w:color w:val="000000"/>
                      <w:lang w:val="en-US"/>
                    </w:rPr>
                  </w:pPr>
                  <w:r w:rsidRPr="00CB6F86">
                    <w:rPr>
                      <w:rFonts w:eastAsia="Times New Roman"/>
                      <w:color w:val="000000"/>
                      <w:lang w:val="es-PE"/>
                    </w:rPr>
                    <w:t>3. Ingreso fiscal real</w:t>
                  </w:r>
                </w:p>
              </w:tc>
              <w:tc>
                <w:tcPr>
                  <w:tcW w:w="666" w:type="dxa"/>
                  <w:tcBorders>
                    <w:top w:val="nil"/>
                    <w:left w:val="single" w:sz="8" w:space="0" w:color="auto"/>
                    <w:bottom w:val="nil"/>
                    <w:right w:val="single" w:sz="8" w:space="0" w:color="auto"/>
                  </w:tcBorders>
                  <w:shd w:val="clear" w:color="000000" w:fill="FFFFFF"/>
                  <w:vAlign w:val="center"/>
                  <w:hideMark/>
                </w:tcPr>
                <w:p w14:paraId="6D08AB59"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90,5</w:t>
                  </w:r>
                </w:p>
              </w:tc>
              <w:tc>
                <w:tcPr>
                  <w:tcW w:w="666" w:type="dxa"/>
                  <w:tcBorders>
                    <w:top w:val="nil"/>
                    <w:left w:val="nil"/>
                    <w:bottom w:val="nil"/>
                    <w:right w:val="single" w:sz="8" w:space="0" w:color="auto"/>
                  </w:tcBorders>
                  <w:shd w:val="clear" w:color="000000" w:fill="FFFFFF"/>
                  <w:vAlign w:val="center"/>
                  <w:hideMark/>
                </w:tcPr>
                <w:p w14:paraId="00A25612"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72</w:t>
                  </w:r>
                  <w:r>
                    <w:rPr>
                      <w:rFonts w:eastAsia="Times New Roman"/>
                      <w:color w:val="000000"/>
                      <w:lang w:val="es-PE"/>
                    </w:rPr>
                    <w:t>,0</w:t>
                  </w:r>
                </w:p>
              </w:tc>
              <w:tc>
                <w:tcPr>
                  <w:tcW w:w="666" w:type="dxa"/>
                  <w:tcBorders>
                    <w:top w:val="nil"/>
                    <w:left w:val="nil"/>
                    <w:bottom w:val="nil"/>
                    <w:right w:val="single" w:sz="8" w:space="0" w:color="auto"/>
                  </w:tcBorders>
                  <w:shd w:val="clear" w:color="000000" w:fill="FFFFFF"/>
                  <w:vAlign w:val="center"/>
                  <w:hideMark/>
                </w:tcPr>
                <w:p w14:paraId="6ECC90D5"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92,4</w:t>
                  </w:r>
                </w:p>
              </w:tc>
              <w:tc>
                <w:tcPr>
                  <w:tcW w:w="666" w:type="dxa"/>
                  <w:tcBorders>
                    <w:top w:val="nil"/>
                    <w:left w:val="nil"/>
                    <w:bottom w:val="nil"/>
                    <w:right w:val="single" w:sz="8" w:space="0" w:color="auto"/>
                  </w:tcBorders>
                  <w:shd w:val="clear" w:color="000000" w:fill="FFFFFF"/>
                  <w:vAlign w:val="center"/>
                  <w:hideMark/>
                </w:tcPr>
                <w:p w14:paraId="38DD203C" w14:textId="60A49447" w:rsidR="007A59FB" w:rsidRPr="00CB6F86" w:rsidRDefault="007A59FB" w:rsidP="007A59FB">
                  <w:pPr>
                    <w:jc w:val="center"/>
                    <w:rPr>
                      <w:rFonts w:eastAsia="Times New Roman"/>
                      <w:color w:val="000000"/>
                      <w:lang w:val="en-US"/>
                    </w:rPr>
                  </w:pPr>
                  <w:r w:rsidRPr="00CB6F86">
                    <w:rPr>
                      <w:rFonts w:eastAsia="Times New Roman"/>
                      <w:color w:val="000000"/>
                      <w:lang w:val="es-PE"/>
                    </w:rPr>
                    <w:t>103</w:t>
                  </w:r>
                  <w:r w:rsidR="00357368">
                    <w:rPr>
                      <w:rFonts w:eastAsia="Times New Roman"/>
                      <w:color w:val="000000"/>
                      <w:lang w:val="es-PE"/>
                    </w:rPr>
                    <w:t>,0</w:t>
                  </w:r>
                </w:p>
              </w:tc>
              <w:tc>
                <w:tcPr>
                  <w:tcW w:w="666" w:type="dxa"/>
                  <w:tcBorders>
                    <w:top w:val="nil"/>
                    <w:left w:val="nil"/>
                    <w:bottom w:val="nil"/>
                    <w:right w:val="single" w:sz="8" w:space="0" w:color="auto"/>
                  </w:tcBorders>
                  <w:shd w:val="clear" w:color="000000" w:fill="FFFFFF"/>
                  <w:vAlign w:val="center"/>
                  <w:hideMark/>
                </w:tcPr>
                <w:p w14:paraId="162A6F8C"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104,4</w:t>
                  </w:r>
                </w:p>
              </w:tc>
              <w:tc>
                <w:tcPr>
                  <w:tcW w:w="666" w:type="dxa"/>
                  <w:tcBorders>
                    <w:top w:val="nil"/>
                    <w:left w:val="nil"/>
                    <w:bottom w:val="nil"/>
                    <w:right w:val="single" w:sz="8" w:space="0" w:color="auto"/>
                  </w:tcBorders>
                  <w:shd w:val="clear" w:color="000000" w:fill="FFFFFF"/>
                  <w:vAlign w:val="center"/>
                  <w:hideMark/>
                </w:tcPr>
                <w:p w14:paraId="750607DA"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103</w:t>
                  </w:r>
                  <w:r>
                    <w:rPr>
                      <w:rFonts w:eastAsia="Times New Roman"/>
                      <w:color w:val="000000"/>
                      <w:lang w:val="es-PE"/>
                    </w:rPr>
                    <w:t>,0</w:t>
                  </w:r>
                </w:p>
              </w:tc>
              <w:tc>
                <w:tcPr>
                  <w:tcW w:w="1272" w:type="dxa"/>
                  <w:tcBorders>
                    <w:top w:val="nil"/>
                    <w:left w:val="nil"/>
                    <w:bottom w:val="nil"/>
                    <w:right w:val="single" w:sz="8" w:space="0" w:color="auto"/>
                  </w:tcBorders>
                  <w:shd w:val="clear" w:color="000000" w:fill="FFFFFF"/>
                  <w:vAlign w:val="center"/>
                  <w:hideMark/>
                </w:tcPr>
                <w:p w14:paraId="036826AB"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0,5</w:t>
                  </w:r>
                </w:p>
              </w:tc>
              <w:tc>
                <w:tcPr>
                  <w:tcW w:w="666" w:type="dxa"/>
                  <w:tcBorders>
                    <w:top w:val="nil"/>
                    <w:left w:val="nil"/>
                    <w:bottom w:val="nil"/>
                    <w:right w:val="single" w:sz="8" w:space="0" w:color="auto"/>
                  </w:tcBorders>
                  <w:shd w:val="clear" w:color="000000" w:fill="FFFFFF"/>
                  <w:vAlign w:val="center"/>
                  <w:hideMark/>
                </w:tcPr>
                <w:p w14:paraId="4DA013F6"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104,2</w:t>
                  </w:r>
                </w:p>
              </w:tc>
              <w:tc>
                <w:tcPr>
                  <w:tcW w:w="666" w:type="dxa"/>
                  <w:tcBorders>
                    <w:top w:val="nil"/>
                    <w:left w:val="nil"/>
                    <w:bottom w:val="nil"/>
                    <w:right w:val="nil"/>
                  </w:tcBorders>
                  <w:shd w:val="clear" w:color="000000" w:fill="FFFFFF"/>
                  <w:vAlign w:val="center"/>
                  <w:hideMark/>
                </w:tcPr>
                <w:p w14:paraId="112A93CB"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109,6</w:t>
                  </w:r>
                </w:p>
              </w:tc>
              <w:tc>
                <w:tcPr>
                  <w:tcW w:w="1272" w:type="dxa"/>
                  <w:tcBorders>
                    <w:top w:val="nil"/>
                    <w:left w:val="single" w:sz="8" w:space="0" w:color="auto"/>
                    <w:bottom w:val="nil"/>
                    <w:right w:val="single" w:sz="8" w:space="0" w:color="auto"/>
                  </w:tcBorders>
                  <w:shd w:val="clear" w:color="auto" w:fill="auto"/>
                  <w:noWrap/>
                  <w:vAlign w:val="center"/>
                  <w:hideMark/>
                </w:tcPr>
                <w:p w14:paraId="29749AE7"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 xml:space="preserve">  3,2*</w:t>
                  </w:r>
                </w:p>
              </w:tc>
              <w:tc>
                <w:tcPr>
                  <w:tcW w:w="1272" w:type="dxa"/>
                  <w:tcBorders>
                    <w:top w:val="nil"/>
                    <w:left w:val="nil"/>
                    <w:bottom w:val="nil"/>
                    <w:right w:val="single" w:sz="8" w:space="0" w:color="auto"/>
                  </w:tcBorders>
                  <w:shd w:val="clear" w:color="auto" w:fill="auto"/>
                  <w:noWrap/>
                  <w:vAlign w:val="center"/>
                  <w:hideMark/>
                </w:tcPr>
                <w:p w14:paraId="796766AF"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1,2</w:t>
                  </w:r>
                </w:p>
              </w:tc>
            </w:tr>
            <w:tr w:rsidR="002C7444" w:rsidRPr="00CB6F86" w14:paraId="401B4F24" w14:textId="77777777" w:rsidTr="002C7444">
              <w:trPr>
                <w:trHeight w:val="278"/>
              </w:trPr>
              <w:tc>
                <w:tcPr>
                  <w:tcW w:w="1834" w:type="dxa"/>
                  <w:tcBorders>
                    <w:top w:val="nil"/>
                    <w:left w:val="single" w:sz="8" w:space="0" w:color="auto"/>
                    <w:bottom w:val="nil"/>
                    <w:right w:val="nil"/>
                  </w:tcBorders>
                  <w:shd w:val="clear" w:color="000000" w:fill="FFFFFF"/>
                  <w:noWrap/>
                  <w:vAlign w:val="center"/>
                  <w:hideMark/>
                </w:tcPr>
                <w:p w14:paraId="0991DAC1" w14:textId="77777777" w:rsidR="007A59FB" w:rsidRPr="00CB6F86" w:rsidRDefault="007A59FB" w:rsidP="007A59FB">
                  <w:pPr>
                    <w:rPr>
                      <w:rFonts w:eastAsia="Times New Roman"/>
                      <w:color w:val="000000"/>
                      <w:lang w:val="en-US"/>
                    </w:rPr>
                  </w:pPr>
                  <w:r w:rsidRPr="00CB6F86">
                    <w:rPr>
                      <w:rFonts w:eastAsia="Times New Roman"/>
                      <w:color w:val="000000"/>
                      <w:lang w:val="es-PE"/>
                    </w:rPr>
                    <w:t>4. Ingreso fiscal real</w:t>
                  </w:r>
                </w:p>
              </w:tc>
              <w:tc>
                <w:tcPr>
                  <w:tcW w:w="666" w:type="dxa"/>
                  <w:vMerge w:val="restart"/>
                  <w:tcBorders>
                    <w:top w:val="nil"/>
                    <w:left w:val="single" w:sz="8" w:space="0" w:color="auto"/>
                    <w:bottom w:val="nil"/>
                    <w:right w:val="single" w:sz="8" w:space="0" w:color="auto"/>
                  </w:tcBorders>
                  <w:shd w:val="clear" w:color="000000" w:fill="FFFFFF"/>
                  <w:vAlign w:val="center"/>
                  <w:hideMark/>
                </w:tcPr>
                <w:p w14:paraId="3B81E3F2"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101,5</w:t>
                  </w:r>
                </w:p>
              </w:tc>
              <w:tc>
                <w:tcPr>
                  <w:tcW w:w="666" w:type="dxa"/>
                  <w:vMerge w:val="restart"/>
                  <w:tcBorders>
                    <w:top w:val="nil"/>
                    <w:left w:val="single" w:sz="8" w:space="0" w:color="auto"/>
                    <w:bottom w:val="nil"/>
                    <w:right w:val="single" w:sz="8" w:space="0" w:color="auto"/>
                  </w:tcBorders>
                  <w:shd w:val="clear" w:color="000000" w:fill="FFFFFF"/>
                  <w:vAlign w:val="center"/>
                  <w:hideMark/>
                </w:tcPr>
                <w:p w14:paraId="01129FD9"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91,8</w:t>
                  </w:r>
                </w:p>
              </w:tc>
              <w:tc>
                <w:tcPr>
                  <w:tcW w:w="666" w:type="dxa"/>
                  <w:vMerge w:val="restart"/>
                  <w:tcBorders>
                    <w:top w:val="nil"/>
                    <w:left w:val="single" w:sz="8" w:space="0" w:color="auto"/>
                    <w:bottom w:val="nil"/>
                    <w:right w:val="single" w:sz="8" w:space="0" w:color="auto"/>
                  </w:tcBorders>
                  <w:shd w:val="clear" w:color="000000" w:fill="FFFFFF"/>
                  <w:vAlign w:val="center"/>
                  <w:hideMark/>
                </w:tcPr>
                <w:p w14:paraId="428AEEA5"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107,7</w:t>
                  </w:r>
                </w:p>
              </w:tc>
              <w:tc>
                <w:tcPr>
                  <w:tcW w:w="666" w:type="dxa"/>
                  <w:vMerge w:val="restart"/>
                  <w:tcBorders>
                    <w:top w:val="nil"/>
                    <w:left w:val="single" w:sz="8" w:space="0" w:color="auto"/>
                    <w:bottom w:val="nil"/>
                    <w:right w:val="single" w:sz="8" w:space="0" w:color="auto"/>
                  </w:tcBorders>
                  <w:shd w:val="clear" w:color="000000" w:fill="FFFFFF"/>
                  <w:vAlign w:val="center"/>
                  <w:hideMark/>
                </w:tcPr>
                <w:p w14:paraId="66F20D3A"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123,6</w:t>
                  </w:r>
                </w:p>
              </w:tc>
              <w:tc>
                <w:tcPr>
                  <w:tcW w:w="666" w:type="dxa"/>
                  <w:vMerge w:val="restart"/>
                  <w:tcBorders>
                    <w:top w:val="nil"/>
                    <w:left w:val="single" w:sz="8" w:space="0" w:color="auto"/>
                    <w:bottom w:val="nil"/>
                    <w:right w:val="single" w:sz="8" w:space="0" w:color="auto"/>
                  </w:tcBorders>
                  <w:shd w:val="clear" w:color="000000" w:fill="FFFFFF"/>
                  <w:vAlign w:val="center"/>
                  <w:hideMark/>
                </w:tcPr>
                <w:p w14:paraId="6EF254D7"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132</w:t>
                  </w:r>
                </w:p>
              </w:tc>
              <w:tc>
                <w:tcPr>
                  <w:tcW w:w="666" w:type="dxa"/>
                  <w:vMerge w:val="restart"/>
                  <w:tcBorders>
                    <w:top w:val="nil"/>
                    <w:left w:val="single" w:sz="8" w:space="0" w:color="auto"/>
                    <w:bottom w:val="nil"/>
                    <w:right w:val="single" w:sz="8" w:space="0" w:color="auto"/>
                  </w:tcBorders>
                  <w:shd w:val="clear" w:color="000000" w:fill="FFFFFF"/>
                  <w:vAlign w:val="center"/>
                  <w:hideMark/>
                </w:tcPr>
                <w:p w14:paraId="61ADB616"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136,1</w:t>
                  </w:r>
                </w:p>
              </w:tc>
              <w:tc>
                <w:tcPr>
                  <w:tcW w:w="1272" w:type="dxa"/>
                  <w:vMerge w:val="restart"/>
                  <w:tcBorders>
                    <w:top w:val="nil"/>
                    <w:left w:val="single" w:sz="8" w:space="0" w:color="auto"/>
                    <w:bottom w:val="nil"/>
                    <w:right w:val="single" w:sz="8" w:space="0" w:color="auto"/>
                  </w:tcBorders>
                  <w:shd w:val="clear" w:color="000000" w:fill="FFFFFF"/>
                  <w:vAlign w:val="center"/>
                  <w:hideMark/>
                </w:tcPr>
                <w:p w14:paraId="602F5F1A"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5,3</w:t>
                  </w:r>
                </w:p>
              </w:tc>
              <w:tc>
                <w:tcPr>
                  <w:tcW w:w="666" w:type="dxa"/>
                  <w:vMerge w:val="restart"/>
                  <w:tcBorders>
                    <w:top w:val="nil"/>
                    <w:left w:val="single" w:sz="8" w:space="0" w:color="auto"/>
                    <w:bottom w:val="nil"/>
                    <w:right w:val="single" w:sz="8" w:space="0" w:color="auto"/>
                  </w:tcBorders>
                  <w:shd w:val="clear" w:color="000000" w:fill="FFFFFF"/>
                  <w:vAlign w:val="center"/>
                  <w:hideMark/>
                </w:tcPr>
                <w:p w14:paraId="146064FB"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139,2</w:t>
                  </w:r>
                </w:p>
              </w:tc>
              <w:tc>
                <w:tcPr>
                  <w:tcW w:w="666" w:type="dxa"/>
                  <w:vMerge w:val="restart"/>
                  <w:tcBorders>
                    <w:top w:val="nil"/>
                    <w:left w:val="single" w:sz="8" w:space="0" w:color="auto"/>
                    <w:bottom w:val="nil"/>
                    <w:right w:val="single" w:sz="8" w:space="0" w:color="auto"/>
                  </w:tcBorders>
                  <w:shd w:val="clear" w:color="000000" w:fill="FFFFFF"/>
                  <w:vAlign w:val="center"/>
                  <w:hideMark/>
                </w:tcPr>
                <w:p w14:paraId="510EA050"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150,4</w:t>
                  </w:r>
                </w:p>
              </w:tc>
              <w:tc>
                <w:tcPr>
                  <w:tcW w:w="1272" w:type="dxa"/>
                  <w:vMerge w:val="restart"/>
                  <w:tcBorders>
                    <w:top w:val="nil"/>
                    <w:left w:val="single" w:sz="8" w:space="0" w:color="auto"/>
                    <w:bottom w:val="nil"/>
                    <w:right w:val="single" w:sz="8" w:space="0" w:color="auto"/>
                  </w:tcBorders>
                  <w:shd w:val="clear" w:color="auto" w:fill="auto"/>
                  <w:noWrap/>
                  <w:vAlign w:val="center"/>
                  <w:hideMark/>
                </w:tcPr>
                <w:p w14:paraId="39290091"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 xml:space="preserve">  5,1*</w:t>
                  </w:r>
                </w:p>
              </w:tc>
              <w:tc>
                <w:tcPr>
                  <w:tcW w:w="1272" w:type="dxa"/>
                  <w:vMerge w:val="restart"/>
                  <w:tcBorders>
                    <w:top w:val="nil"/>
                    <w:left w:val="single" w:sz="8" w:space="0" w:color="auto"/>
                    <w:bottom w:val="nil"/>
                    <w:right w:val="single" w:sz="8" w:space="0" w:color="auto"/>
                  </w:tcBorders>
                  <w:shd w:val="clear" w:color="auto" w:fill="auto"/>
                  <w:noWrap/>
                  <w:vAlign w:val="center"/>
                  <w:hideMark/>
                </w:tcPr>
                <w:p w14:paraId="75079CE7"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5,2</w:t>
                  </w:r>
                </w:p>
              </w:tc>
            </w:tr>
            <w:tr w:rsidR="002C7444" w:rsidRPr="00CB6F86" w14:paraId="12C2E0A8" w14:textId="77777777" w:rsidTr="002C7444">
              <w:trPr>
                <w:trHeight w:val="278"/>
              </w:trPr>
              <w:tc>
                <w:tcPr>
                  <w:tcW w:w="1834" w:type="dxa"/>
                  <w:tcBorders>
                    <w:top w:val="nil"/>
                    <w:left w:val="single" w:sz="8" w:space="0" w:color="auto"/>
                    <w:bottom w:val="nil"/>
                    <w:right w:val="nil"/>
                  </w:tcBorders>
                  <w:shd w:val="clear" w:color="000000" w:fill="FFFFFF"/>
                  <w:noWrap/>
                  <w:vAlign w:val="center"/>
                  <w:hideMark/>
                </w:tcPr>
                <w:p w14:paraId="72B7F06A" w14:textId="0AACC525" w:rsidR="007A59FB" w:rsidRPr="00CB6F86" w:rsidRDefault="007A59FB" w:rsidP="00C53DB3">
                  <w:pPr>
                    <w:rPr>
                      <w:rFonts w:eastAsia="Times New Roman"/>
                      <w:color w:val="000000"/>
                      <w:lang w:val="en-US"/>
                    </w:rPr>
                  </w:pPr>
                  <w:r w:rsidRPr="00CB6F86">
                    <w:rPr>
                      <w:rFonts w:eastAsia="Times New Roman"/>
                      <w:color w:val="000000"/>
                      <w:lang w:val="es-PE"/>
                    </w:rPr>
                    <w:t xml:space="preserve"> no cupr</w:t>
                  </w:r>
                  <w:r w:rsidR="00C53DB3">
                    <w:rPr>
                      <w:rFonts w:eastAsia="Times New Roman"/>
                      <w:color w:val="000000"/>
                      <w:lang w:val="es-PE"/>
                    </w:rPr>
                    <w:t>ífero</w:t>
                  </w:r>
                </w:p>
              </w:tc>
              <w:tc>
                <w:tcPr>
                  <w:tcW w:w="666" w:type="dxa"/>
                  <w:vMerge/>
                  <w:tcBorders>
                    <w:top w:val="nil"/>
                    <w:left w:val="single" w:sz="8" w:space="0" w:color="auto"/>
                    <w:bottom w:val="nil"/>
                    <w:right w:val="single" w:sz="8" w:space="0" w:color="auto"/>
                  </w:tcBorders>
                  <w:vAlign w:val="center"/>
                  <w:hideMark/>
                </w:tcPr>
                <w:p w14:paraId="158F18A2" w14:textId="77777777" w:rsidR="007A59FB" w:rsidRPr="00CB6F86" w:rsidRDefault="007A59FB" w:rsidP="007A59FB">
                  <w:pPr>
                    <w:rPr>
                      <w:rFonts w:eastAsia="Times New Roman"/>
                      <w:color w:val="000000"/>
                      <w:lang w:val="en-US"/>
                    </w:rPr>
                  </w:pPr>
                </w:p>
              </w:tc>
              <w:tc>
                <w:tcPr>
                  <w:tcW w:w="666" w:type="dxa"/>
                  <w:vMerge/>
                  <w:tcBorders>
                    <w:top w:val="nil"/>
                    <w:left w:val="single" w:sz="8" w:space="0" w:color="auto"/>
                    <w:bottom w:val="nil"/>
                    <w:right w:val="single" w:sz="8" w:space="0" w:color="auto"/>
                  </w:tcBorders>
                  <w:vAlign w:val="center"/>
                  <w:hideMark/>
                </w:tcPr>
                <w:p w14:paraId="2DB0B7B9" w14:textId="77777777" w:rsidR="007A59FB" w:rsidRPr="00CB6F86" w:rsidRDefault="007A59FB" w:rsidP="007A59FB">
                  <w:pPr>
                    <w:rPr>
                      <w:rFonts w:eastAsia="Times New Roman"/>
                      <w:color w:val="000000"/>
                      <w:lang w:val="en-US"/>
                    </w:rPr>
                  </w:pPr>
                </w:p>
              </w:tc>
              <w:tc>
                <w:tcPr>
                  <w:tcW w:w="666" w:type="dxa"/>
                  <w:vMerge/>
                  <w:tcBorders>
                    <w:top w:val="nil"/>
                    <w:left w:val="single" w:sz="8" w:space="0" w:color="auto"/>
                    <w:bottom w:val="nil"/>
                    <w:right w:val="single" w:sz="8" w:space="0" w:color="auto"/>
                  </w:tcBorders>
                  <w:vAlign w:val="center"/>
                  <w:hideMark/>
                </w:tcPr>
                <w:p w14:paraId="6F8508E0" w14:textId="77777777" w:rsidR="007A59FB" w:rsidRPr="00CB6F86" w:rsidRDefault="007A59FB" w:rsidP="007A59FB">
                  <w:pPr>
                    <w:rPr>
                      <w:rFonts w:eastAsia="Times New Roman"/>
                      <w:color w:val="000000"/>
                      <w:lang w:val="en-US"/>
                    </w:rPr>
                  </w:pPr>
                </w:p>
              </w:tc>
              <w:tc>
                <w:tcPr>
                  <w:tcW w:w="666" w:type="dxa"/>
                  <w:vMerge/>
                  <w:tcBorders>
                    <w:top w:val="nil"/>
                    <w:left w:val="single" w:sz="8" w:space="0" w:color="auto"/>
                    <w:bottom w:val="nil"/>
                    <w:right w:val="single" w:sz="8" w:space="0" w:color="auto"/>
                  </w:tcBorders>
                  <w:vAlign w:val="center"/>
                  <w:hideMark/>
                </w:tcPr>
                <w:p w14:paraId="5DB25CF4" w14:textId="77777777" w:rsidR="007A59FB" w:rsidRPr="00CB6F86" w:rsidRDefault="007A59FB" w:rsidP="007A59FB">
                  <w:pPr>
                    <w:rPr>
                      <w:rFonts w:eastAsia="Times New Roman"/>
                      <w:color w:val="000000"/>
                      <w:lang w:val="en-US"/>
                    </w:rPr>
                  </w:pPr>
                </w:p>
              </w:tc>
              <w:tc>
                <w:tcPr>
                  <w:tcW w:w="666" w:type="dxa"/>
                  <w:vMerge/>
                  <w:tcBorders>
                    <w:top w:val="nil"/>
                    <w:left w:val="single" w:sz="8" w:space="0" w:color="auto"/>
                    <w:bottom w:val="nil"/>
                    <w:right w:val="single" w:sz="8" w:space="0" w:color="auto"/>
                  </w:tcBorders>
                  <w:vAlign w:val="center"/>
                  <w:hideMark/>
                </w:tcPr>
                <w:p w14:paraId="1EA4E5EB" w14:textId="77777777" w:rsidR="007A59FB" w:rsidRPr="00CB6F86" w:rsidRDefault="007A59FB" w:rsidP="007A59FB">
                  <w:pPr>
                    <w:rPr>
                      <w:rFonts w:eastAsia="Times New Roman"/>
                      <w:color w:val="000000"/>
                      <w:lang w:val="en-US"/>
                    </w:rPr>
                  </w:pPr>
                </w:p>
              </w:tc>
              <w:tc>
                <w:tcPr>
                  <w:tcW w:w="666" w:type="dxa"/>
                  <w:vMerge/>
                  <w:tcBorders>
                    <w:top w:val="nil"/>
                    <w:left w:val="single" w:sz="8" w:space="0" w:color="auto"/>
                    <w:bottom w:val="nil"/>
                    <w:right w:val="single" w:sz="8" w:space="0" w:color="auto"/>
                  </w:tcBorders>
                  <w:vAlign w:val="center"/>
                  <w:hideMark/>
                </w:tcPr>
                <w:p w14:paraId="371523B7" w14:textId="77777777" w:rsidR="007A59FB" w:rsidRPr="00CB6F86" w:rsidRDefault="007A59FB" w:rsidP="007A59FB">
                  <w:pPr>
                    <w:rPr>
                      <w:rFonts w:eastAsia="Times New Roman"/>
                      <w:color w:val="000000"/>
                      <w:lang w:val="en-US"/>
                    </w:rPr>
                  </w:pPr>
                </w:p>
              </w:tc>
              <w:tc>
                <w:tcPr>
                  <w:tcW w:w="1272" w:type="dxa"/>
                  <w:vMerge/>
                  <w:tcBorders>
                    <w:top w:val="nil"/>
                    <w:left w:val="single" w:sz="8" w:space="0" w:color="auto"/>
                    <w:bottom w:val="nil"/>
                    <w:right w:val="single" w:sz="8" w:space="0" w:color="auto"/>
                  </w:tcBorders>
                  <w:vAlign w:val="center"/>
                  <w:hideMark/>
                </w:tcPr>
                <w:p w14:paraId="4107F7ED" w14:textId="77777777" w:rsidR="007A59FB" w:rsidRPr="00CB6F86" w:rsidRDefault="007A59FB" w:rsidP="007A59FB">
                  <w:pPr>
                    <w:rPr>
                      <w:rFonts w:eastAsia="Times New Roman"/>
                      <w:color w:val="000000"/>
                      <w:lang w:val="en-US"/>
                    </w:rPr>
                  </w:pPr>
                </w:p>
              </w:tc>
              <w:tc>
                <w:tcPr>
                  <w:tcW w:w="666" w:type="dxa"/>
                  <w:vMerge/>
                  <w:tcBorders>
                    <w:top w:val="nil"/>
                    <w:left w:val="single" w:sz="8" w:space="0" w:color="auto"/>
                    <w:bottom w:val="nil"/>
                    <w:right w:val="single" w:sz="8" w:space="0" w:color="auto"/>
                  </w:tcBorders>
                  <w:vAlign w:val="center"/>
                  <w:hideMark/>
                </w:tcPr>
                <w:p w14:paraId="69BF0DC5" w14:textId="77777777" w:rsidR="007A59FB" w:rsidRPr="00CB6F86" w:rsidRDefault="007A59FB" w:rsidP="007A59FB">
                  <w:pPr>
                    <w:rPr>
                      <w:rFonts w:eastAsia="Times New Roman"/>
                      <w:color w:val="000000"/>
                      <w:lang w:val="en-US"/>
                    </w:rPr>
                  </w:pPr>
                </w:p>
              </w:tc>
              <w:tc>
                <w:tcPr>
                  <w:tcW w:w="666" w:type="dxa"/>
                  <w:vMerge/>
                  <w:tcBorders>
                    <w:top w:val="nil"/>
                    <w:left w:val="single" w:sz="8" w:space="0" w:color="auto"/>
                    <w:bottom w:val="nil"/>
                    <w:right w:val="single" w:sz="8" w:space="0" w:color="auto"/>
                  </w:tcBorders>
                  <w:vAlign w:val="center"/>
                  <w:hideMark/>
                </w:tcPr>
                <w:p w14:paraId="61803421" w14:textId="77777777" w:rsidR="007A59FB" w:rsidRPr="00CB6F86" w:rsidRDefault="007A59FB" w:rsidP="007A59FB">
                  <w:pPr>
                    <w:rPr>
                      <w:rFonts w:eastAsia="Times New Roman"/>
                      <w:color w:val="000000"/>
                      <w:lang w:val="en-US"/>
                    </w:rPr>
                  </w:pPr>
                </w:p>
              </w:tc>
              <w:tc>
                <w:tcPr>
                  <w:tcW w:w="1272" w:type="dxa"/>
                  <w:vMerge/>
                  <w:tcBorders>
                    <w:top w:val="nil"/>
                    <w:left w:val="single" w:sz="8" w:space="0" w:color="auto"/>
                    <w:bottom w:val="nil"/>
                    <w:right w:val="single" w:sz="8" w:space="0" w:color="auto"/>
                  </w:tcBorders>
                  <w:vAlign w:val="center"/>
                  <w:hideMark/>
                </w:tcPr>
                <w:p w14:paraId="0E5CAF9B" w14:textId="77777777" w:rsidR="007A59FB" w:rsidRPr="00CB6F86" w:rsidRDefault="007A59FB" w:rsidP="007A59FB">
                  <w:pPr>
                    <w:rPr>
                      <w:rFonts w:eastAsia="Times New Roman"/>
                      <w:color w:val="000000"/>
                      <w:lang w:val="en-US"/>
                    </w:rPr>
                  </w:pPr>
                </w:p>
              </w:tc>
              <w:tc>
                <w:tcPr>
                  <w:tcW w:w="1272" w:type="dxa"/>
                  <w:vMerge/>
                  <w:tcBorders>
                    <w:top w:val="nil"/>
                    <w:left w:val="single" w:sz="8" w:space="0" w:color="auto"/>
                    <w:bottom w:val="nil"/>
                    <w:right w:val="single" w:sz="8" w:space="0" w:color="auto"/>
                  </w:tcBorders>
                  <w:vAlign w:val="center"/>
                  <w:hideMark/>
                </w:tcPr>
                <w:p w14:paraId="14C98A14" w14:textId="77777777" w:rsidR="007A59FB" w:rsidRPr="00CB6F86" w:rsidRDefault="007A59FB" w:rsidP="007A59FB">
                  <w:pPr>
                    <w:rPr>
                      <w:rFonts w:eastAsia="Times New Roman"/>
                      <w:color w:val="000000"/>
                      <w:lang w:val="en-US"/>
                    </w:rPr>
                  </w:pPr>
                </w:p>
              </w:tc>
            </w:tr>
            <w:tr w:rsidR="002C7444" w:rsidRPr="00CB6F86" w14:paraId="194F0222" w14:textId="77777777" w:rsidTr="002C7444">
              <w:trPr>
                <w:trHeight w:val="292"/>
              </w:trPr>
              <w:tc>
                <w:tcPr>
                  <w:tcW w:w="1834" w:type="dxa"/>
                  <w:tcBorders>
                    <w:top w:val="nil"/>
                    <w:left w:val="single" w:sz="8" w:space="0" w:color="auto"/>
                    <w:bottom w:val="single" w:sz="8" w:space="0" w:color="auto"/>
                    <w:right w:val="nil"/>
                  </w:tcBorders>
                  <w:shd w:val="clear" w:color="000000" w:fill="FFFFFF"/>
                  <w:noWrap/>
                  <w:vAlign w:val="center"/>
                  <w:hideMark/>
                </w:tcPr>
                <w:p w14:paraId="59315A22" w14:textId="77777777" w:rsidR="007A59FB" w:rsidRPr="00CB6F86" w:rsidRDefault="007A59FB" w:rsidP="007A59FB">
                  <w:pPr>
                    <w:rPr>
                      <w:rFonts w:eastAsia="Times New Roman"/>
                      <w:color w:val="000000"/>
                      <w:lang w:val="en-US"/>
                    </w:rPr>
                  </w:pPr>
                  <w:r w:rsidRPr="00CB6F86">
                    <w:rPr>
                      <w:rFonts w:eastAsia="Times New Roman"/>
                      <w:color w:val="000000"/>
                      <w:lang w:val="es-PE"/>
                    </w:rPr>
                    <w:t>5. Demanda  interna</w:t>
                  </w:r>
                </w:p>
              </w:tc>
              <w:tc>
                <w:tcPr>
                  <w:tcW w:w="666" w:type="dxa"/>
                  <w:tcBorders>
                    <w:top w:val="nil"/>
                    <w:left w:val="single" w:sz="8" w:space="0" w:color="auto"/>
                    <w:bottom w:val="single" w:sz="8" w:space="0" w:color="auto"/>
                    <w:right w:val="single" w:sz="8" w:space="0" w:color="auto"/>
                  </w:tcBorders>
                  <w:shd w:val="clear" w:color="000000" w:fill="FFFFFF"/>
                  <w:vAlign w:val="center"/>
                  <w:hideMark/>
                </w:tcPr>
                <w:p w14:paraId="555BA0AB"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108,3</w:t>
                  </w:r>
                </w:p>
              </w:tc>
              <w:tc>
                <w:tcPr>
                  <w:tcW w:w="666" w:type="dxa"/>
                  <w:tcBorders>
                    <w:top w:val="nil"/>
                    <w:left w:val="nil"/>
                    <w:bottom w:val="single" w:sz="8" w:space="0" w:color="auto"/>
                    <w:right w:val="single" w:sz="8" w:space="0" w:color="auto"/>
                  </w:tcBorders>
                  <w:shd w:val="clear" w:color="000000" w:fill="FFFFFF"/>
                  <w:vAlign w:val="center"/>
                  <w:hideMark/>
                </w:tcPr>
                <w:p w14:paraId="372FA38D"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102,2</w:t>
                  </w:r>
                </w:p>
              </w:tc>
              <w:tc>
                <w:tcPr>
                  <w:tcW w:w="666" w:type="dxa"/>
                  <w:tcBorders>
                    <w:top w:val="nil"/>
                    <w:left w:val="nil"/>
                    <w:bottom w:val="single" w:sz="8" w:space="0" w:color="auto"/>
                    <w:right w:val="single" w:sz="8" w:space="0" w:color="auto"/>
                  </w:tcBorders>
                  <w:shd w:val="clear" w:color="000000" w:fill="FFFFFF"/>
                  <w:vAlign w:val="center"/>
                  <w:hideMark/>
                </w:tcPr>
                <w:p w14:paraId="39A2337C"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116,1</w:t>
                  </w:r>
                </w:p>
              </w:tc>
              <w:tc>
                <w:tcPr>
                  <w:tcW w:w="666" w:type="dxa"/>
                  <w:tcBorders>
                    <w:top w:val="nil"/>
                    <w:left w:val="nil"/>
                    <w:bottom w:val="single" w:sz="8" w:space="0" w:color="auto"/>
                    <w:right w:val="single" w:sz="8" w:space="0" w:color="auto"/>
                  </w:tcBorders>
                  <w:shd w:val="clear" w:color="000000" w:fill="FFFFFF"/>
                  <w:vAlign w:val="center"/>
                  <w:hideMark/>
                </w:tcPr>
                <w:p w14:paraId="1E9DFF08"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126,8</w:t>
                  </w:r>
                </w:p>
              </w:tc>
              <w:tc>
                <w:tcPr>
                  <w:tcW w:w="666" w:type="dxa"/>
                  <w:tcBorders>
                    <w:top w:val="nil"/>
                    <w:left w:val="nil"/>
                    <w:bottom w:val="single" w:sz="8" w:space="0" w:color="auto"/>
                    <w:right w:val="single" w:sz="8" w:space="0" w:color="auto"/>
                  </w:tcBorders>
                  <w:shd w:val="clear" w:color="000000" w:fill="FFFFFF"/>
                  <w:vAlign w:val="center"/>
                  <w:hideMark/>
                </w:tcPr>
                <w:p w14:paraId="2E4D875C"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135,6</w:t>
                  </w:r>
                </w:p>
              </w:tc>
              <w:tc>
                <w:tcPr>
                  <w:tcW w:w="666" w:type="dxa"/>
                  <w:tcBorders>
                    <w:top w:val="nil"/>
                    <w:left w:val="nil"/>
                    <w:bottom w:val="single" w:sz="8" w:space="0" w:color="auto"/>
                    <w:right w:val="single" w:sz="8" w:space="0" w:color="auto"/>
                  </w:tcBorders>
                  <w:shd w:val="clear" w:color="000000" w:fill="FFFFFF"/>
                  <w:vAlign w:val="center"/>
                  <w:hideMark/>
                </w:tcPr>
                <w:p w14:paraId="6F4EA9C3"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140,2</w:t>
                  </w:r>
                </w:p>
              </w:tc>
              <w:tc>
                <w:tcPr>
                  <w:tcW w:w="1272" w:type="dxa"/>
                  <w:tcBorders>
                    <w:top w:val="nil"/>
                    <w:left w:val="nil"/>
                    <w:bottom w:val="single" w:sz="8" w:space="0" w:color="auto"/>
                    <w:right w:val="single" w:sz="8" w:space="0" w:color="auto"/>
                  </w:tcBorders>
                  <w:shd w:val="clear" w:color="000000" w:fill="FFFFFF"/>
                  <w:vAlign w:val="center"/>
                  <w:hideMark/>
                </w:tcPr>
                <w:p w14:paraId="37D399C6"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5,8</w:t>
                  </w:r>
                </w:p>
              </w:tc>
              <w:tc>
                <w:tcPr>
                  <w:tcW w:w="666" w:type="dxa"/>
                  <w:tcBorders>
                    <w:top w:val="nil"/>
                    <w:left w:val="nil"/>
                    <w:bottom w:val="single" w:sz="8" w:space="0" w:color="auto"/>
                    <w:right w:val="single" w:sz="8" w:space="0" w:color="auto"/>
                  </w:tcBorders>
                  <w:shd w:val="clear" w:color="000000" w:fill="FFFFFF"/>
                  <w:vAlign w:val="center"/>
                  <w:hideMark/>
                </w:tcPr>
                <w:p w14:paraId="4BBF0530"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139,7</w:t>
                  </w:r>
                </w:p>
              </w:tc>
              <w:tc>
                <w:tcPr>
                  <w:tcW w:w="666" w:type="dxa"/>
                  <w:tcBorders>
                    <w:top w:val="nil"/>
                    <w:left w:val="nil"/>
                    <w:bottom w:val="single" w:sz="8" w:space="0" w:color="auto"/>
                    <w:right w:val="nil"/>
                  </w:tcBorders>
                  <w:shd w:val="clear" w:color="000000" w:fill="FFFFFF"/>
                  <w:vAlign w:val="center"/>
                  <w:hideMark/>
                </w:tcPr>
                <w:p w14:paraId="7A36EE7B"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142,6</w:t>
                  </w:r>
                </w:p>
              </w:tc>
              <w:tc>
                <w:tcPr>
                  <w:tcW w:w="1272" w:type="dxa"/>
                  <w:tcBorders>
                    <w:top w:val="nil"/>
                    <w:left w:val="single" w:sz="8" w:space="0" w:color="auto"/>
                    <w:bottom w:val="single" w:sz="8" w:space="0" w:color="auto"/>
                    <w:right w:val="single" w:sz="8" w:space="0" w:color="auto"/>
                  </w:tcBorders>
                  <w:shd w:val="clear" w:color="auto" w:fill="auto"/>
                  <w:noWrap/>
                  <w:vAlign w:val="center"/>
                  <w:hideMark/>
                </w:tcPr>
                <w:p w14:paraId="2867E20A"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0,8</w:t>
                  </w:r>
                </w:p>
              </w:tc>
              <w:tc>
                <w:tcPr>
                  <w:tcW w:w="1272" w:type="dxa"/>
                  <w:tcBorders>
                    <w:top w:val="nil"/>
                    <w:left w:val="nil"/>
                    <w:bottom w:val="single" w:sz="8" w:space="0" w:color="auto"/>
                    <w:right w:val="single" w:sz="8" w:space="0" w:color="auto"/>
                  </w:tcBorders>
                  <w:shd w:val="clear" w:color="auto" w:fill="auto"/>
                  <w:noWrap/>
                  <w:vAlign w:val="center"/>
                  <w:hideMark/>
                </w:tcPr>
                <w:p w14:paraId="34576F21"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4,5</w:t>
                  </w:r>
                </w:p>
              </w:tc>
            </w:tr>
            <w:tr w:rsidR="007A59FB" w:rsidRPr="00CB6F86" w14:paraId="4789D934" w14:textId="77777777" w:rsidTr="002C7444">
              <w:trPr>
                <w:trHeight w:val="712"/>
              </w:trPr>
              <w:tc>
                <w:tcPr>
                  <w:tcW w:w="10983" w:type="dxa"/>
                  <w:gridSpan w:val="12"/>
                  <w:tcBorders>
                    <w:top w:val="single" w:sz="8" w:space="0" w:color="auto"/>
                    <w:left w:val="nil"/>
                    <w:bottom w:val="nil"/>
                    <w:right w:val="nil"/>
                  </w:tcBorders>
                  <w:shd w:val="clear" w:color="auto" w:fill="auto"/>
                  <w:vAlign w:val="center"/>
                  <w:hideMark/>
                </w:tcPr>
                <w:p w14:paraId="07118E39" w14:textId="77777777" w:rsidR="007A59FB" w:rsidRPr="00CB6F86" w:rsidRDefault="007A59FB" w:rsidP="007A59FB">
                  <w:pPr>
                    <w:jc w:val="both"/>
                    <w:rPr>
                      <w:rFonts w:eastAsia="Times New Roman"/>
                      <w:b/>
                      <w:bCs/>
                      <w:color w:val="000000"/>
                      <w:lang w:val="en-US"/>
                    </w:rPr>
                  </w:pPr>
                  <w:r w:rsidRPr="00CB6F86">
                    <w:rPr>
                      <w:rFonts w:eastAsia="Times New Roman"/>
                      <w:b/>
                      <w:bCs/>
                      <w:color w:val="000000"/>
                      <w:lang w:val="es-PE"/>
                    </w:rPr>
                    <w:t xml:space="preserve">Fuentes: </w:t>
                  </w:r>
                  <w:r w:rsidRPr="00CB6F86">
                    <w:rPr>
                      <w:rFonts w:eastAsia="Times New Roman"/>
                      <w:color w:val="000000"/>
                      <w:lang w:val="es-PE"/>
                    </w:rPr>
                    <w:t xml:space="preserve">Tomado de Ffrench-Davis (2014, cuadro X.5), actualizado a 2015. Basado en datos del Banco Central  de PIB  y demanda interna, serie de referencia 2008. Filas (2) a (4) son cifras nominales del gobierno central, según DIPRES (2016), deflactadas por el índice promedio anual del IPC,  escalado a 2007=100; la fila 4 excluye el ingreso aportado por CODELCO y las diez empresas mineras mayores. *Incluye recaudación inicial de la reforma tributaria de 2014. </w:t>
                  </w:r>
                </w:p>
              </w:tc>
            </w:tr>
          </w:tbl>
          <w:p w14:paraId="0E5E7816" w14:textId="77777777" w:rsidR="007A59FB" w:rsidRDefault="007A59FB" w:rsidP="007A59FB">
            <w:pPr>
              <w:rPr>
                <w:lang w:val="es-PE"/>
              </w:rPr>
            </w:pPr>
          </w:p>
          <w:p w14:paraId="59318F73" w14:textId="77777777" w:rsidR="007A59FB" w:rsidRDefault="007A59FB" w:rsidP="007A59FB">
            <w:pPr>
              <w:rPr>
                <w:lang w:val="es-PE"/>
              </w:rPr>
            </w:pPr>
          </w:p>
          <w:p w14:paraId="5D59161A" w14:textId="77777777" w:rsidR="007A59FB" w:rsidRDefault="007A59FB" w:rsidP="007A59FB">
            <w:pPr>
              <w:rPr>
                <w:lang w:val="es-PE"/>
              </w:rPr>
            </w:pPr>
          </w:p>
          <w:p w14:paraId="3DB1CFCB" w14:textId="77777777" w:rsidR="007A59FB" w:rsidRDefault="007A59FB" w:rsidP="007A59FB">
            <w:pPr>
              <w:rPr>
                <w:lang w:val="es-PE"/>
              </w:rPr>
            </w:pPr>
          </w:p>
          <w:p w14:paraId="697D6B3F" w14:textId="77777777" w:rsidR="007A59FB" w:rsidRDefault="007A59FB" w:rsidP="007A59FB">
            <w:pPr>
              <w:rPr>
                <w:lang w:val="es-PE"/>
              </w:rPr>
            </w:pPr>
          </w:p>
          <w:p w14:paraId="0B883B30" w14:textId="77777777" w:rsidR="007A59FB" w:rsidRDefault="007A59FB" w:rsidP="007A59FB">
            <w:pPr>
              <w:rPr>
                <w:lang w:val="es-PE"/>
              </w:rPr>
            </w:pPr>
          </w:p>
          <w:tbl>
            <w:tblPr>
              <w:tblW w:w="10217" w:type="dxa"/>
              <w:tblLook w:val="04A0" w:firstRow="1" w:lastRow="0" w:firstColumn="1" w:lastColumn="0" w:noHBand="0" w:noVBand="1"/>
            </w:tblPr>
            <w:tblGrid>
              <w:gridCol w:w="4818"/>
              <w:gridCol w:w="838"/>
              <w:gridCol w:w="838"/>
              <w:gridCol w:w="576"/>
              <w:gridCol w:w="576"/>
              <w:gridCol w:w="838"/>
              <w:gridCol w:w="576"/>
              <w:gridCol w:w="576"/>
              <w:gridCol w:w="581"/>
            </w:tblGrid>
            <w:tr w:rsidR="007A59FB" w:rsidRPr="00CB6F86" w14:paraId="0C680271" w14:textId="77777777" w:rsidTr="002C7444">
              <w:trPr>
                <w:trHeight w:val="292"/>
              </w:trPr>
              <w:tc>
                <w:tcPr>
                  <w:tcW w:w="10217" w:type="dxa"/>
                  <w:gridSpan w:val="9"/>
                  <w:tcBorders>
                    <w:top w:val="nil"/>
                    <w:left w:val="nil"/>
                    <w:bottom w:val="nil"/>
                    <w:right w:val="nil"/>
                  </w:tcBorders>
                  <w:shd w:val="clear" w:color="auto" w:fill="auto"/>
                  <w:noWrap/>
                  <w:vAlign w:val="center"/>
                  <w:hideMark/>
                </w:tcPr>
                <w:p w14:paraId="0453581D" w14:textId="0BF5504C" w:rsidR="007A59FB" w:rsidRPr="00CB6F86" w:rsidRDefault="007A59FB" w:rsidP="00BC0EBE">
                  <w:pPr>
                    <w:jc w:val="center"/>
                    <w:rPr>
                      <w:rFonts w:eastAsia="Times New Roman"/>
                      <w:b/>
                      <w:bCs/>
                      <w:color w:val="000000"/>
                      <w:sz w:val="24"/>
                      <w:szCs w:val="24"/>
                      <w:lang w:val="es-CL"/>
                    </w:rPr>
                  </w:pPr>
                  <w:r w:rsidRPr="00CB6F86">
                    <w:rPr>
                      <w:rFonts w:eastAsia="Times New Roman"/>
                      <w:b/>
                      <w:bCs/>
                      <w:color w:val="000000"/>
                      <w:sz w:val="24"/>
                      <w:szCs w:val="24"/>
                      <w:lang w:val="es-PE"/>
                    </w:rPr>
                    <w:t xml:space="preserve">Cuadro 3. PBI y precio del cobre </w:t>
                  </w:r>
                  <w:r w:rsidR="00C53DB3">
                    <w:rPr>
                      <w:rFonts w:eastAsia="Times New Roman"/>
                      <w:b/>
                      <w:bCs/>
                      <w:color w:val="000000"/>
                      <w:sz w:val="24"/>
                      <w:szCs w:val="24"/>
                      <w:lang w:val="es-PE"/>
                    </w:rPr>
                    <w:t xml:space="preserve">tendenciales </w:t>
                  </w:r>
                  <w:r w:rsidRPr="00CB6F86">
                    <w:rPr>
                      <w:rFonts w:eastAsia="Times New Roman"/>
                      <w:b/>
                      <w:bCs/>
                      <w:color w:val="000000"/>
                      <w:sz w:val="24"/>
                      <w:szCs w:val="24"/>
                      <w:lang w:val="es-PE"/>
                    </w:rPr>
                    <w:t>y balance fiscal estructural, 2001-2015</w:t>
                  </w:r>
                </w:p>
              </w:tc>
            </w:tr>
            <w:tr w:rsidR="007A59FB" w:rsidRPr="00CB6F86" w14:paraId="5FEC3A86" w14:textId="77777777" w:rsidTr="002C7444">
              <w:trPr>
                <w:trHeight w:val="278"/>
              </w:trPr>
              <w:tc>
                <w:tcPr>
                  <w:tcW w:w="10217" w:type="dxa"/>
                  <w:gridSpan w:val="9"/>
                  <w:tcBorders>
                    <w:top w:val="nil"/>
                    <w:left w:val="nil"/>
                    <w:bottom w:val="nil"/>
                    <w:right w:val="nil"/>
                  </w:tcBorders>
                  <w:shd w:val="clear" w:color="auto" w:fill="auto"/>
                  <w:noWrap/>
                  <w:vAlign w:val="center"/>
                  <w:hideMark/>
                </w:tcPr>
                <w:p w14:paraId="0D325B7B" w14:textId="73A70409" w:rsidR="007A59FB" w:rsidRPr="0013640E" w:rsidRDefault="007A59FB" w:rsidP="0013640E">
                  <w:pPr>
                    <w:jc w:val="center"/>
                    <w:rPr>
                      <w:rFonts w:eastAsia="Times New Roman"/>
                      <w:color w:val="000000"/>
                      <w:sz w:val="18"/>
                      <w:szCs w:val="18"/>
                      <w:lang w:val="es-CL"/>
                    </w:rPr>
                  </w:pPr>
                  <w:r w:rsidRPr="00CB6F86">
                    <w:rPr>
                      <w:rFonts w:eastAsia="Times New Roman"/>
                      <w:color w:val="000000"/>
                      <w:sz w:val="18"/>
                      <w:szCs w:val="18"/>
                      <w:lang w:val="es-PE"/>
                    </w:rPr>
                    <w:t>(promedios anuales)</w:t>
                  </w:r>
                </w:p>
              </w:tc>
            </w:tr>
            <w:tr w:rsidR="002C7444" w:rsidRPr="00CB6F86" w14:paraId="0A97D580" w14:textId="77777777" w:rsidTr="002C7444">
              <w:trPr>
                <w:trHeight w:val="292"/>
              </w:trPr>
              <w:tc>
                <w:tcPr>
                  <w:tcW w:w="4818" w:type="dxa"/>
                  <w:tcBorders>
                    <w:top w:val="nil"/>
                    <w:left w:val="nil"/>
                    <w:bottom w:val="single" w:sz="8" w:space="0" w:color="auto"/>
                    <w:right w:val="nil"/>
                  </w:tcBorders>
                  <w:shd w:val="clear" w:color="000000" w:fill="BFBFBF"/>
                  <w:noWrap/>
                  <w:vAlign w:val="center"/>
                  <w:hideMark/>
                </w:tcPr>
                <w:p w14:paraId="048E1368" w14:textId="77777777" w:rsidR="007A59FB" w:rsidRPr="0013640E" w:rsidRDefault="007A59FB" w:rsidP="007A59FB">
                  <w:pPr>
                    <w:rPr>
                      <w:rFonts w:eastAsia="Times New Roman"/>
                      <w:color w:val="000000"/>
                      <w:sz w:val="18"/>
                      <w:szCs w:val="18"/>
                      <w:lang w:val="es-CL"/>
                    </w:rPr>
                  </w:pPr>
                  <w:r w:rsidRPr="00CB6F86">
                    <w:rPr>
                      <w:rFonts w:eastAsia="Times New Roman"/>
                      <w:color w:val="000000"/>
                      <w:sz w:val="18"/>
                      <w:szCs w:val="18"/>
                      <w:lang w:val="es-PE"/>
                    </w:rPr>
                    <w:t> </w:t>
                  </w:r>
                </w:p>
              </w:tc>
              <w:tc>
                <w:tcPr>
                  <w:tcW w:w="838" w:type="dxa"/>
                  <w:tcBorders>
                    <w:top w:val="nil"/>
                    <w:left w:val="nil"/>
                    <w:bottom w:val="single" w:sz="8" w:space="0" w:color="auto"/>
                    <w:right w:val="nil"/>
                  </w:tcBorders>
                  <w:shd w:val="clear" w:color="000000" w:fill="BFBFBF"/>
                  <w:noWrap/>
                  <w:vAlign w:val="center"/>
                  <w:hideMark/>
                </w:tcPr>
                <w:p w14:paraId="598B1F66" w14:textId="77777777" w:rsidR="007A59FB" w:rsidRPr="00CB6F86" w:rsidRDefault="007A59FB" w:rsidP="007A59FB">
                  <w:pPr>
                    <w:jc w:val="center"/>
                    <w:rPr>
                      <w:rFonts w:eastAsia="Times New Roman"/>
                      <w:b/>
                      <w:bCs/>
                      <w:color w:val="000000"/>
                      <w:sz w:val="18"/>
                      <w:szCs w:val="18"/>
                      <w:lang w:val="en-US"/>
                    </w:rPr>
                  </w:pPr>
                  <w:r w:rsidRPr="00CB6F86">
                    <w:rPr>
                      <w:rFonts w:eastAsia="Times New Roman"/>
                      <w:b/>
                      <w:bCs/>
                      <w:color w:val="000000"/>
                      <w:sz w:val="18"/>
                      <w:szCs w:val="18"/>
                      <w:lang w:val="es-PE"/>
                    </w:rPr>
                    <w:t>2001-03</w:t>
                  </w:r>
                </w:p>
              </w:tc>
              <w:tc>
                <w:tcPr>
                  <w:tcW w:w="838" w:type="dxa"/>
                  <w:tcBorders>
                    <w:top w:val="nil"/>
                    <w:left w:val="nil"/>
                    <w:bottom w:val="single" w:sz="8" w:space="0" w:color="auto"/>
                    <w:right w:val="nil"/>
                  </w:tcBorders>
                  <w:shd w:val="clear" w:color="000000" w:fill="BFBFBF"/>
                  <w:noWrap/>
                  <w:vAlign w:val="center"/>
                  <w:hideMark/>
                </w:tcPr>
                <w:p w14:paraId="494062BF" w14:textId="77777777" w:rsidR="007A59FB" w:rsidRPr="00CB6F86" w:rsidRDefault="007A59FB" w:rsidP="007A59FB">
                  <w:pPr>
                    <w:jc w:val="center"/>
                    <w:rPr>
                      <w:rFonts w:eastAsia="Times New Roman"/>
                      <w:b/>
                      <w:bCs/>
                      <w:color w:val="000000"/>
                      <w:sz w:val="18"/>
                      <w:szCs w:val="18"/>
                      <w:lang w:val="en-US"/>
                    </w:rPr>
                  </w:pPr>
                  <w:r w:rsidRPr="00CB6F86">
                    <w:rPr>
                      <w:rFonts w:eastAsia="Times New Roman"/>
                      <w:b/>
                      <w:bCs/>
                      <w:color w:val="000000"/>
                      <w:sz w:val="18"/>
                      <w:szCs w:val="18"/>
                      <w:lang w:val="es-PE"/>
                    </w:rPr>
                    <w:t>2004-07</w:t>
                  </w:r>
                </w:p>
              </w:tc>
              <w:tc>
                <w:tcPr>
                  <w:tcW w:w="576" w:type="dxa"/>
                  <w:tcBorders>
                    <w:top w:val="nil"/>
                    <w:left w:val="nil"/>
                    <w:bottom w:val="single" w:sz="8" w:space="0" w:color="auto"/>
                    <w:right w:val="nil"/>
                  </w:tcBorders>
                  <w:shd w:val="clear" w:color="000000" w:fill="BFBFBF"/>
                  <w:noWrap/>
                  <w:vAlign w:val="center"/>
                  <w:hideMark/>
                </w:tcPr>
                <w:p w14:paraId="4619194B" w14:textId="77777777" w:rsidR="007A59FB" w:rsidRPr="00CB6F86" w:rsidRDefault="007A59FB" w:rsidP="007A59FB">
                  <w:pPr>
                    <w:jc w:val="center"/>
                    <w:rPr>
                      <w:rFonts w:eastAsia="Times New Roman"/>
                      <w:b/>
                      <w:bCs/>
                      <w:color w:val="000000"/>
                      <w:sz w:val="18"/>
                      <w:szCs w:val="18"/>
                      <w:lang w:val="en-US"/>
                    </w:rPr>
                  </w:pPr>
                  <w:r w:rsidRPr="00CB6F86">
                    <w:rPr>
                      <w:rFonts w:eastAsia="Times New Roman"/>
                      <w:b/>
                      <w:bCs/>
                      <w:color w:val="000000"/>
                      <w:sz w:val="18"/>
                      <w:szCs w:val="18"/>
                      <w:lang w:val="es-PE"/>
                    </w:rPr>
                    <w:t>2008</w:t>
                  </w:r>
                </w:p>
              </w:tc>
              <w:tc>
                <w:tcPr>
                  <w:tcW w:w="576" w:type="dxa"/>
                  <w:tcBorders>
                    <w:top w:val="nil"/>
                    <w:left w:val="nil"/>
                    <w:bottom w:val="single" w:sz="8" w:space="0" w:color="auto"/>
                    <w:right w:val="nil"/>
                  </w:tcBorders>
                  <w:shd w:val="clear" w:color="000000" w:fill="BFBFBF"/>
                  <w:noWrap/>
                  <w:vAlign w:val="center"/>
                  <w:hideMark/>
                </w:tcPr>
                <w:p w14:paraId="4BEC3F44" w14:textId="77777777" w:rsidR="007A59FB" w:rsidRPr="00CB6F86" w:rsidRDefault="007A59FB" w:rsidP="007A59FB">
                  <w:pPr>
                    <w:jc w:val="center"/>
                    <w:rPr>
                      <w:rFonts w:eastAsia="Times New Roman"/>
                      <w:b/>
                      <w:bCs/>
                      <w:color w:val="000000"/>
                      <w:sz w:val="18"/>
                      <w:szCs w:val="18"/>
                      <w:lang w:val="en-US"/>
                    </w:rPr>
                  </w:pPr>
                  <w:r w:rsidRPr="00CB6F86">
                    <w:rPr>
                      <w:rFonts w:eastAsia="Times New Roman"/>
                      <w:b/>
                      <w:bCs/>
                      <w:color w:val="000000"/>
                      <w:sz w:val="18"/>
                      <w:szCs w:val="18"/>
                      <w:lang w:val="es-PE"/>
                    </w:rPr>
                    <w:t>2009</w:t>
                  </w:r>
                </w:p>
              </w:tc>
              <w:tc>
                <w:tcPr>
                  <w:tcW w:w="838" w:type="dxa"/>
                  <w:tcBorders>
                    <w:top w:val="nil"/>
                    <w:left w:val="nil"/>
                    <w:bottom w:val="single" w:sz="8" w:space="0" w:color="auto"/>
                    <w:right w:val="nil"/>
                  </w:tcBorders>
                  <w:shd w:val="clear" w:color="000000" w:fill="BFBFBF"/>
                  <w:noWrap/>
                  <w:vAlign w:val="center"/>
                  <w:hideMark/>
                </w:tcPr>
                <w:p w14:paraId="4143F88F" w14:textId="77777777" w:rsidR="007A59FB" w:rsidRPr="00CB6F86" w:rsidRDefault="007A59FB" w:rsidP="007A59FB">
                  <w:pPr>
                    <w:jc w:val="center"/>
                    <w:rPr>
                      <w:rFonts w:eastAsia="Times New Roman"/>
                      <w:b/>
                      <w:bCs/>
                      <w:color w:val="000000"/>
                      <w:sz w:val="18"/>
                      <w:szCs w:val="18"/>
                      <w:lang w:val="en-US"/>
                    </w:rPr>
                  </w:pPr>
                  <w:r w:rsidRPr="00CB6F86">
                    <w:rPr>
                      <w:rFonts w:eastAsia="Times New Roman"/>
                      <w:b/>
                      <w:bCs/>
                      <w:color w:val="000000"/>
                      <w:sz w:val="18"/>
                      <w:szCs w:val="18"/>
                      <w:lang w:val="es-PE"/>
                    </w:rPr>
                    <w:t>2010-12</w:t>
                  </w:r>
                </w:p>
              </w:tc>
              <w:tc>
                <w:tcPr>
                  <w:tcW w:w="576" w:type="dxa"/>
                  <w:tcBorders>
                    <w:top w:val="nil"/>
                    <w:left w:val="nil"/>
                    <w:bottom w:val="single" w:sz="8" w:space="0" w:color="auto"/>
                    <w:right w:val="nil"/>
                  </w:tcBorders>
                  <w:shd w:val="clear" w:color="000000" w:fill="BFBFBF"/>
                  <w:noWrap/>
                  <w:vAlign w:val="center"/>
                  <w:hideMark/>
                </w:tcPr>
                <w:p w14:paraId="67A34C28" w14:textId="77777777" w:rsidR="007A59FB" w:rsidRPr="00CB6F86" w:rsidRDefault="007A59FB" w:rsidP="007A59FB">
                  <w:pPr>
                    <w:jc w:val="center"/>
                    <w:rPr>
                      <w:rFonts w:eastAsia="Times New Roman"/>
                      <w:b/>
                      <w:bCs/>
                      <w:color w:val="000000"/>
                      <w:sz w:val="18"/>
                      <w:szCs w:val="18"/>
                      <w:lang w:val="en-US"/>
                    </w:rPr>
                  </w:pPr>
                  <w:r w:rsidRPr="00CB6F86">
                    <w:rPr>
                      <w:rFonts w:eastAsia="Times New Roman"/>
                      <w:b/>
                      <w:bCs/>
                      <w:color w:val="000000"/>
                      <w:sz w:val="18"/>
                      <w:szCs w:val="18"/>
                      <w:lang w:val="es-PE"/>
                    </w:rPr>
                    <w:t>2013</w:t>
                  </w:r>
                </w:p>
              </w:tc>
              <w:tc>
                <w:tcPr>
                  <w:tcW w:w="576" w:type="dxa"/>
                  <w:tcBorders>
                    <w:top w:val="nil"/>
                    <w:left w:val="nil"/>
                    <w:bottom w:val="single" w:sz="8" w:space="0" w:color="auto"/>
                    <w:right w:val="nil"/>
                  </w:tcBorders>
                  <w:shd w:val="clear" w:color="000000" w:fill="BFBFBF"/>
                  <w:noWrap/>
                  <w:vAlign w:val="center"/>
                  <w:hideMark/>
                </w:tcPr>
                <w:p w14:paraId="7EAD7BEF" w14:textId="77777777" w:rsidR="007A59FB" w:rsidRPr="00CB6F86" w:rsidRDefault="007A59FB" w:rsidP="007A59FB">
                  <w:pPr>
                    <w:jc w:val="center"/>
                    <w:rPr>
                      <w:rFonts w:eastAsia="Times New Roman"/>
                      <w:b/>
                      <w:bCs/>
                      <w:color w:val="000000"/>
                      <w:sz w:val="18"/>
                      <w:szCs w:val="18"/>
                      <w:lang w:val="en-US"/>
                    </w:rPr>
                  </w:pPr>
                  <w:r w:rsidRPr="00CB6F86">
                    <w:rPr>
                      <w:rFonts w:eastAsia="Times New Roman"/>
                      <w:b/>
                      <w:bCs/>
                      <w:color w:val="000000"/>
                      <w:sz w:val="18"/>
                      <w:szCs w:val="18"/>
                      <w:lang w:val="es-PE"/>
                    </w:rPr>
                    <w:t>2014</w:t>
                  </w:r>
                </w:p>
              </w:tc>
              <w:tc>
                <w:tcPr>
                  <w:tcW w:w="576" w:type="dxa"/>
                  <w:tcBorders>
                    <w:top w:val="nil"/>
                    <w:left w:val="nil"/>
                    <w:bottom w:val="single" w:sz="8" w:space="0" w:color="auto"/>
                    <w:right w:val="nil"/>
                  </w:tcBorders>
                  <w:shd w:val="clear" w:color="000000" w:fill="BFBFBF"/>
                  <w:noWrap/>
                  <w:vAlign w:val="center"/>
                  <w:hideMark/>
                </w:tcPr>
                <w:p w14:paraId="6078851F" w14:textId="77777777" w:rsidR="007A59FB" w:rsidRPr="00CB6F86" w:rsidRDefault="007A59FB" w:rsidP="007A59FB">
                  <w:pPr>
                    <w:jc w:val="center"/>
                    <w:rPr>
                      <w:rFonts w:eastAsia="Times New Roman"/>
                      <w:b/>
                      <w:bCs/>
                      <w:color w:val="000000"/>
                      <w:sz w:val="18"/>
                      <w:szCs w:val="18"/>
                      <w:lang w:val="en-US"/>
                    </w:rPr>
                  </w:pPr>
                  <w:r w:rsidRPr="00CB6F86">
                    <w:rPr>
                      <w:rFonts w:eastAsia="Times New Roman"/>
                      <w:b/>
                      <w:bCs/>
                      <w:color w:val="000000"/>
                      <w:sz w:val="18"/>
                      <w:szCs w:val="18"/>
                      <w:lang w:val="es-PE"/>
                    </w:rPr>
                    <w:t>2015</w:t>
                  </w:r>
                </w:p>
              </w:tc>
            </w:tr>
            <w:tr w:rsidR="002C7444" w:rsidRPr="00CB6F86" w14:paraId="4CFF6903" w14:textId="77777777" w:rsidTr="002C7444">
              <w:trPr>
                <w:trHeight w:val="278"/>
              </w:trPr>
              <w:tc>
                <w:tcPr>
                  <w:tcW w:w="4818" w:type="dxa"/>
                  <w:tcBorders>
                    <w:top w:val="nil"/>
                    <w:left w:val="nil"/>
                    <w:bottom w:val="nil"/>
                    <w:right w:val="nil"/>
                  </w:tcBorders>
                  <w:shd w:val="clear" w:color="000000" w:fill="FFFFFF"/>
                  <w:noWrap/>
                  <w:vAlign w:val="center"/>
                  <w:hideMark/>
                </w:tcPr>
                <w:p w14:paraId="7DE63DCD" w14:textId="0A548BE1" w:rsidR="007A59FB" w:rsidRPr="00CB6F86" w:rsidRDefault="007A59FB" w:rsidP="00C53DB3">
                  <w:pPr>
                    <w:rPr>
                      <w:rFonts w:eastAsia="Times New Roman"/>
                      <w:color w:val="000000"/>
                      <w:sz w:val="18"/>
                      <w:szCs w:val="18"/>
                      <w:lang w:val="es-CL"/>
                    </w:rPr>
                  </w:pPr>
                  <w:r w:rsidRPr="00CB6F86">
                    <w:rPr>
                      <w:rFonts w:eastAsia="Times New Roman"/>
                      <w:color w:val="000000"/>
                      <w:sz w:val="18"/>
                      <w:szCs w:val="18"/>
                      <w:lang w:val="es-PE"/>
                    </w:rPr>
                    <w:t xml:space="preserve">1. PBI </w:t>
                  </w:r>
                  <w:r w:rsidR="00C53DB3">
                    <w:rPr>
                      <w:rFonts w:eastAsia="Times New Roman"/>
                      <w:color w:val="000000"/>
                      <w:sz w:val="18"/>
                      <w:szCs w:val="18"/>
                      <w:lang w:val="es-PE"/>
                    </w:rPr>
                    <w:t>efectivo</w:t>
                  </w:r>
                  <w:r w:rsidRPr="00CB6F86">
                    <w:rPr>
                      <w:rFonts w:eastAsia="Times New Roman"/>
                      <w:color w:val="000000"/>
                      <w:sz w:val="18"/>
                      <w:szCs w:val="18"/>
                      <w:lang w:val="es-PE"/>
                    </w:rPr>
                    <w:t xml:space="preserve"> (% de cambio real anual)</w:t>
                  </w:r>
                </w:p>
              </w:tc>
              <w:tc>
                <w:tcPr>
                  <w:tcW w:w="838" w:type="dxa"/>
                  <w:tcBorders>
                    <w:top w:val="nil"/>
                    <w:left w:val="nil"/>
                    <w:bottom w:val="nil"/>
                    <w:right w:val="nil"/>
                  </w:tcBorders>
                  <w:shd w:val="clear" w:color="000000" w:fill="FFFFFF"/>
                  <w:noWrap/>
                  <w:vAlign w:val="center"/>
                  <w:hideMark/>
                </w:tcPr>
                <w:p w14:paraId="04DDEB6B" w14:textId="4BC026B0" w:rsidR="007A59FB" w:rsidRPr="00CB6F86" w:rsidRDefault="00357368" w:rsidP="007A59FB">
                  <w:pPr>
                    <w:jc w:val="center"/>
                    <w:rPr>
                      <w:rFonts w:eastAsia="Times New Roman"/>
                      <w:color w:val="000000"/>
                      <w:sz w:val="18"/>
                      <w:szCs w:val="18"/>
                      <w:lang w:val="en-US"/>
                    </w:rPr>
                  </w:pPr>
                  <w:r>
                    <w:rPr>
                      <w:rFonts w:eastAsia="Times New Roman"/>
                      <w:color w:val="000000"/>
                      <w:sz w:val="18"/>
                      <w:szCs w:val="18"/>
                      <w:lang w:val="es-PE"/>
                    </w:rPr>
                    <w:t>3,</w:t>
                  </w:r>
                  <w:r w:rsidR="007A59FB" w:rsidRPr="00CB6F86">
                    <w:rPr>
                      <w:rFonts w:eastAsia="Times New Roman"/>
                      <w:color w:val="000000"/>
                      <w:sz w:val="18"/>
                      <w:szCs w:val="18"/>
                      <w:lang w:val="es-PE"/>
                    </w:rPr>
                    <w:t>2</w:t>
                  </w:r>
                </w:p>
              </w:tc>
              <w:tc>
                <w:tcPr>
                  <w:tcW w:w="838" w:type="dxa"/>
                  <w:tcBorders>
                    <w:top w:val="nil"/>
                    <w:left w:val="nil"/>
                    <w:bottom w:val="nil"/>
                    <w:right w:val="nil"/>
                  </w:tcBorders>
                  <w:shd w:val="clear" w:color="000000" w:fill="FFFFFF"/>
                  <w:noWrap/>
                  <w:vAlign w:val="center"/>
                  <w:hideMark/>
                </w:tcPr>
                <w:p w14:paraId="509D2AC8" w14:textId="1889205B" w:rsidR="007A59FB" w:rsidRPr="00CB6F86" w:rsidRDefault="00357368" w:rsidP="007A59FB">
                  <w:pPr>
                    <w:jc w:val="center"/>
                    <w:rPr>
                      <w:rFonts w:eastAsia="Times New Roman"/>
                      <w:color w:val="000000"/>
                      <w:sz w:val="18"/>
                      <w:szCs w:val="18"/>
                      <w:lang w:val="en-US"/>
                    </w:rPr>
                  </w:pPr>
                  <w:r>
                    <w:rPr>
                      <w:rFonts w:eastAsia="Times New Roman"/>
                      <w:color w:val="000000"/>
                      <w:sz w:val="18"/>
                      <w:szCs w:val="18"/>
                      <w:lang w:val="es-PE"/>
                    </w:rPr>
                    <w:t>5,</w:t>
                  </w:r>
                  <w:r w:rsidR="007A59FB" w:rsidRPr="00CB6F86">
                    <w:rPr>
                      <w:rFonts w:eastAsia="Times New Roman"/>
                      <w:color w:val="000000"/>
                      <w:sz w:val="18"/>
                      <w:szCs w:val="18"/>
                      <w:lang w:val="es-PE"/>
                    </w:rPr>
                    <w:t>6</w:t>
                  </w:r>
                </w:p>
              </w:tc>
              <w:tc>
                <w:tcPr>
                  <w:tcW w:w="576" w:type="dxa"/>
                  <w:tcBorders>
                    <w:top w:val="nil"/>
                    <w:left w:val="nil"/>
                    <w:bottom w:val="nil"/>
                    <w:right w:val="nil"/>
                  </w:tcBorders>
                  <w:shd w:val="clear" w:color="000000" w:fill="FFFFFF"/>
                  <w:noWrap/>
                  <w:vAlign w:val="center"/>
                  <w:hideMark/>
                </w:tcPr>
                <w:p w14:paraId="387F1C5D" w14:textId="13FFF587" w:rsidR="007A59FB" w:rsidRPr="00CB6F86" w:rsidRDefault="00357368" w:rsidP="007A59FB">
                  <w:pPr>
                    <w:jc w:val="center"/>
                    <w:rPr>
                      <w:rFonts w:eastAsia="Times New Roman"/>
                      <w:color w:val="000000"/>
                      <w:sz w:val="18"/>
                      <w:szCs w:val="18"/>
                      <w:lang w:val="en-US"/>
                    </w:rPr>
                  </w:pPr>
                  <w:r>
                    <w:rPr>
                      <w:rFonts w:eastAsia="Times New Roman"/>
                      <w:color w:val="000000"/>
                      <w:sz w:val="18"/>
                      <w:szCs w:val="18"/>
                      <w:lang w:val="es-PE"/>
                    </w:rPr>
                    <w:t>3,</w:t>
                  </w:r>
                  <w:r w:rsidR="007A59FB" w:rsidRPr="00CB6F86">
                    <w:rPr>
                      <w:rFonts w:eastAsia="Times New Roman"/>
                      <w:color w:val="000000"/>
                      <w:sz w:val="18"/>
                      <w:szCs w:val="18"/>
                      <w:lang w:val="es-PE"/>
                    </w:rPr>
                    <w:t>3</w:t>
                  </w:r>
                </w:p>
              </w:tc>
              <w:tc>
                <w:tcPr>
                  <w:tcW w:w="576" w:type="dxa"/>
                  <w:tcBorders>
                    <w:top w:val="nil"/>
                    <w:left w:val="nil"/>
                    <w:bottom w:val="nil"/>
                    <w:right w:val="nil"/>
                  </w:tcBorders>
                  <w:shd w:val="clear" w:color="000000" w:fill="FFFFFF"/>
                  <w:noWrap/>
                  <w:vAlign w:val="center"/>
                  <w:hideMark/>
                </w:tcPr>
                <w:p w14:paraId="7F6FF03A" w14:textId="0FEDD961" w:rsidR="007A59FB" w:rsidRPr="00CB6F86" w:rsidRDefault="00357368" w:rsidP="007A59FB">
                  <w:pPr>
                    <w:jc w:val="center"/>
                    <w:rPr>
                      <w:rFonts w:eastAsia="Times New Roman"/>
                      <w:color w:val="000000"/>
                      <w:sz w:val="18"/>
                      <w:szCs w:val="18"/>
                      <w:lang w:val="en-US"/>
                    </w:rPr>
                  </w:pPr>
                  <w:r>
                    <w:rPr>
                      <w:rFonts w:eastAsia="Times New Roman"/>
                      <w:color w:val="000000"/>
                      <w:sz w:val="18"/>
                      <w:szCs w:val="18"/>
                      <w:lang w:val="es-PE"/>
                    </w:rPr>
                    <w:t>-1,</w:t>
                  </w:r>
                  <w:r w:rsidR="007A59FB" w:rsidRPr="00CB6F86">
                    <w:rPr>
                      <w:rFonts w:eastAsia="Times New Roman"/>
                      <w:color w:val="000000"/>
                      <w:sz w:val="18"/>
                      <w:szCs w:val="18"/>
                      <w:lang w:val="es-PE"/>
                    </w:rPr>
                    <w:t>0</w:t>
                  </w:r>
                </w:p>
              </w:tc>
              <w:tc>
                <w:tcPr>
                  <w:tcW w:w="838" w:type="dxa"/>
                  <w:tcBorders>
                    <w:top w:val="nil"/>
                    <w:left w:val="nil"/>
                    <w:bottom w:val="nil"/>
                    <w:right w:val="nil"/>
                  </w:tcBorders>
                  <w:shd w:val="clear" w:color="000000" w:fill="FFFFFF"/>
                  <w:noWrap/>
                  <w:vAlign w:val="center"/>
                  <w:hideMark/>
                </w:tcPr>
                <w:p w14:paraId="045FD61D" w14:textId="4F94D995" w:rsidR="007A59FB" w:rsidRPr="00CB6F86" w:rsidRDefault="00357368" w:rsidP="007A59FB">
                  <w:pPr>
                    <w:jc w:val="center"/>
                    <w:rPr>
                      <w:rFonts w:eastAsia="Times New Roman"/>
                      <w:color w:val="000000"/>
                      <w:sz w:val="18"/>
                      <w:szCs w:val="18"/>
                      <w:lang w:val="en-US"/>
                    </w:rPr>
                  </w:pPr>
                  <w:r>
                    <w:rPr>
                      <w:rFonts w:eastAsia="Times New Roman"/>
                      <w:color w:val="000000"/>
                      <w:sz w:val="18"/>
                      <w:szCs w:val="18"/>
                      <w:lang w:val="es-PE"/>
                    </w:rPr>
                    <w:t>5,</w:t>
                  </w:r>
                  <w:r w:rsidR="007A59FB" w:rsidRPr="00CB6F86">
                    <w:rPr>
                      <w:rFonts w:eastAsia="Times New Roman"/>
                      <w:color w:val="000000"/>
                      <w:sz w:val="18"/>
                      <w:szCs w:val="18"/>
                      <w:lang w:val="es-PE"/>
                    </w:rPr>
                    <w:t>7</w:t>
                  </w:r>
                </w:p>
              </w:tc>
              <w:tc>
                <w:tcPr>
                  <w:tcW w:w="576" w:type="dxa"/>
                  <w:tcBorders>
                    <w:top w:val="nil"/>
                    <w:left w:val="nil"/>
                    <w:bottom w:val="nil"/>
                    <w:right w:val="nil"/>
                  </w:tcBorders>
                  <w:shd w:val="clear" w:color="000000" w:fill="FFFFFF"/>
                  <w:noWrap/>
                  <w:vAlign w:val="center"/>
                  <w:hideMark/>
                </w:tcPr>
                <w:p w14:paraId="6BA5BF85" w14:textId="31B66556" w:rsidR="007A59FB" w:rsidRPr="00CB6F86" w:rsidRDefault="00357368" w:rsidP="007A59FB">
                  <w:pPr>
                    <w:jc w:val="center"/>
                    <w:rPr>
                      <w:rFonts w:eastAsia="Times New Roman"/>
                      <w:color w:val="000000"/>
                      <w:sz w:val="18"/>
                      <w:szCs w:val="18"/>
                      <w:lang w:val="en-US"/>
                    </w:rPr>
                  </w:pPr>
                  <w:r>
                    <w:rPr>
                      <w:rFonts w:eastAsia="Times New Roman"/>
                      <w:color w:val="000000"/>
                      <w:sz w:val="18"/>
                      <w:szCs w:val="18"/>
                      <w:lang w:val="es-PE"/>
                    </w:rPr>
                    <w:t>4,</w:t>
                  </w:r>
                  <w:r w:rsidR="007A59FB" w:rsidRPr="00CB6F86">
                    <w:rPr>
                      <w:rFonts w:eastAsia="Times New Roman"/>
                      <w:color w:val="000000"/>
                      <w:sz w:val="18"/>
                      <w:szCs w:val="18"/>
                      <w:lang w:val="es-PE"/>
                    </w:rPr>
                    <w:t>0</w:t>
                  </w:r>
                </w:p>
              </w:tc>
              <w:tc>
                <w:tcPr>
                  <w:tcW w:w="576" w:type="dxa"/>
                  <w:tcBorders>
                    <w:top w:val="nil"/>
                    <w:left w:val="nil"/>
                    <w:bottom w:val="nil"/>
                    <w:right w:val="nil"/>
                  </w:tcBorders>
                  <w:shd w:val="clear" w:color="000000" w:fill="FFFFFF"/>
                  <w:noWrap/>
                  <w:vAlign w:val="center"/>
                  <w:hideMark/>
                </w:tcPr>
                <w:p w14:paraId="50B138DE" w14:textId="4072ED39" w:rsidR="007A59FB" w:rsidRPr="00CB6F86" w:rsidRDefault="00357368" w:rsidP="007A59FB">
                  <w:pPr>
                    <w:jc w:val="center"/>
                    <w:rPr>
                      <w:rFonts w:eastAsia="Times New Roman"/>
                      <w:color w:val="000000"/>
                      <w:sz w:val="18"/>
                      <w:szCs w:val="18"/>
                      <w:lang w:val="en-US"/>
                    </w:rPr>
                  </w:pPr>
                  <w:r>
                    <w:rPr>
                      <w:rFonts w:eastAsia="Times New Roman"/>
                      <w:color w:val="000000"/>
                      <w:sz w:val="18"/>
                      <w:szCs w:val="18"/>
                      <w:lang w:val="es-PE"/>
                    </w:rPr>
                    <w:t>1,</w:t>
                  </w:r>
                  <w:r w:rsidR="007A59FB" w:rsidRPr="00CB6F86">
                    <w:rPr>
                      <w:rFonts w:eastAsia="Times New Roman"/>
                      <w:color w:val="000000"/>
                      <w:sz w:val="18"/>
                      <w:szCs w:val="18"/>
                      <w:lang w:val="es-PE"/>
                    </w:rPr>
                    <w:t>9</w:t>
                  </w:r>
                </w:p>
              </w:tc>
              <w:tc>
                <w:tcPr>
                  <w:tcW w:w="576" w:type="dxa"/>
                  <w:tcBorders>
                    <w:top w:val="nil"/>
                    <w:left w:val="nil"/>
                    <w:bottom w:val="nil"/>
                    <w:right w:val="nil"/>
                  </w:tcBorders>
                  <w:shd w:val="clear" w:color="000000" w:fill="FFFFFF"/>
                  <w:noWrap/>
                  <w:vAlign w:val="center"/>
                  <w:hideMark/>
                </w:tcPr>
                <w:p w14:paraId="39DF77B0" w14:textId="14BAFC8F" w:rsidR="007A59FB" w:rsidRPr="00CB6F86" w:rsidRDefault="00357368" w:rsidP="007A59FB">
                  <w:pPr>
                    <w:jc w:val="center"/>
                    <w:rPr>
                      <w:rFonts w:eastAsia="Times New Roman"/>
                      <w:color w:val="000000"/>
                      <w:sz w:val="18"/>
                      <w:szCs w:val="18"/>
                      <w:lang w:val="en-US"/>
                    </w:rPr>
                  </w:pPr>
                  <w:r>
                    <w:rPr>
                      <w:rFonts w:eastAsia="Times New Roman"/>
                      <w:color w:val="000000"/>
                      <w:sz w:val="18"/>
                      <w:szCs w:val="18"/>
                      <w:lang w:val="es-PE"/>
                    </w:rPr>
                    <w:t>2,</w:t>
                  </w:r>
                  <w:r w:rsidR="007A59FB" w:rsidRPr="00CB6F86">
                    <w:rPr>
                      <w:rFonts w:eastAsia="Times New Roman"/>
                      <w:color w:val="000000"/>
                      <w:sz w:val="18"/>
                      <w:szCs w:val="18"/>
                      <w:lang w:val="es-PE"/>
                    </w:rPr>
                    <w:t>3</w:t>
                  </w:r>
                </w:p>
              </w:tc>
            </w:tr>
            <w:tr w:rsidR="002C7444" w:rsidRPr="00B02D2C" w14:paraId="0ABA054F" w14:textId="77777777" w:rsidTr="002C7444">
              <w:trPr>
                <w:trHeight w:val="292"/>
              </w:trPr>
              <w:tc>
                <w:tcPr>
                  <w:tcW w:w="4818" w:type="dxa"/>
                  <w:tcBorders>
                    <w:top w:val="nil"/>
                    <w:left w:val="nil"/>
                    <w:bottom w:val="single" w:sz="8" w:space="0" w:color="auto"/>
                    <w:right w:val="nil"/>
                  </w:tcBorders>
                  <w:shd w:val="clear" w:color="000000" w:fill="FFFFFF"/>
                  <w:noWrap/>
                  <w:vAlign w:val="center"/>
                  <w:hideMark/>
                </w:tcPr>
                <w:p w14:paraId="7D6C7C44" w14:textId="6886FE71" w:rsidR="007A59FB" w:rsidRPr="00B02D2C" w:rsidRDefault="007A59FB" w:rsidP="007A59FB">
                  <w:pPr>
                    <w:rPr>
                      <w:rFonts w:eastAsia="Times New Roman"/>
                      <w:color w:val="000000"/>
                      <w:sz w:val="18"/>
                      <w:szCs w:val="18"/>
                      <w:lang w:val="es-CL"/>
                    </w:rPr>
                  </w:pPr>
                  <w:r w:rsidRPr="00B02D2C">
                    <w:rPr>
                      <w:rFonts w:eastAsia="Times New Roman"/>
                      <w:color w:val="000000"/>
                      <w:sz w:val="18"/>
                      <w:szCs w:val="18"/>
                      <w:lang w:val="es-PE"/>
                    </w:rPr>
                    <w:t>2. PBI tendencial (%</w:t>
                  </w:r>
                  <w:r w:rsidR="00C53DB3" w:rsidRPr="00B02D2C">
                    <w:rPr>
                      <w:rFonts w:eastAsia="Times New Roman"/>
                      <w:color w:val="000000"/>
                      <w:sz w:val="18"/>
                      <w:szCs w:val="18"/>
                      <w:lang w:val="es-PE"/>
                    </w:rPr>
                    <w:t xml:space="preserve"> </w:t>
                  </w:r>
                  <w:r w:rsidRPr="00B02D2C">
                    <w:rPr>
                      <w:rFonts w:eastAsia="Times New Roman"/>
                      <w:color w:val="000000"/>
                      <w:sz w:val="18"/>
                      <w:szCs w:val="18"/>
                      <w:lang w:val="es-PE"/>
                    </w:rPr>
                    <w:t>de cambio real anual)*</w:t>
                  </w:r>
                </w:p>
              </w:tc>
              <w:tc>
                <w:tcPr>
                  <w:tcW w:w="838" w:type="dxa"/>
                  <w:tcBorders>
                    <w:top w:val="nil"/>
                    <w:left w:val="nil"/>
                    <w:bottom w:val="single" w:sz="8" w:space="0" w:color="auto"/>
                    <w:right w:val="nil"/>
                  </w:tcBorders>
                  <w:shd w:val="clear" w:color="000000" w:fill="FFFFFF"/>
                  <w:noWrap/>
                  <w:vAlign w:val="center"/>
                  <w:hideMark/>
                </w:tcPr>
                <w:p w14:paraId="45E83749" w14:textId="0B91058B" w:rsidR="007A59FB" w:rsidRPr="00B02D2C" w:rsidRDefault="00357368" w:rsidP="00BD34D3">
                  <w:pPr>
                    <w:jc w:val="center"/>
                    <w:rPr>
                      <w:rFonts w:eastAsia="Times New Roman"/>
                      <w:color w:val="000000"/>
                      <w:sz w:val="18"/>
                      <w:szCs w:val="18"/>
                      <w:lang w:val="en-US"/>
                    </w:rPr>
                  </w:pPr>
                  <w:r w:rsidRPr="00B02D2C">
                    <w:rPr>
                      <w:rFonts w:eastAsia="Times New Roman"/>
                      <w:color w:val="000000"/>
                      <w:sz w:val="18"/>
                      <w:szCs w:val="18"/>
                      <w:lang w:val="es-PE"/>
                    </w:rPr>
                    <w:t>4,</w:t>
                  </w:r>
                  <w:r w:rsidR="00BD34D3" w:rsidRPr="00B02D2C">
                    <w:rPr>
                      <w:rFonts w:eastAsia="Times New Roman"/>
                      <w:color w:val="000000"/>
                      <w:sz w:val="18"/>
                      <w:szCs w:val="18"/>
                      <w:lang w:val="es-PE"/>
                    </w:rPr>
                    <w:t>2</w:t>
                  </w:r>
                </w:p>
              </w:tc>
              <w:tc>
                <w:tcPr>
                  <w:tcW w:w="838" w:type="dxa"/>
                  <w:tcBorders>
                    <w:top w:val="nil"/>
                    <w:left w:val="nil"/>
                    <w:bottom w:val="single" w:sz="8" w:space="0" w:color="auto"/>
                    <w:right w:val="nil"/>
                  </w:tcBorders>
                  <w:shd w:val="clear" w:color="000000" w:fill="FFFFFF"/>
                  <w:noWrap/>
                  <w:vAlign w:val="center"/>
                  <w:hideMark/>
                </w:tcPr>
                <w:p w14:paraId="789DCBA6" w14:textId="51683516" w:rsidR="007A59FB" w:rsidRPr="00B02D2C" w:rsidRDefault="00357368" w:rsidP="00BD34D3">
                  <w:pPr>
                    <w:jc w:val="center"/>
                    <w:rPr>
                      <w:rFonts w:eastAsia="Times New Roman"/>
                      <w:color w:val="000000"/>
                      <w:sz w:val="18"/>
                      <w:szCs w:val="18"/>
                      <w:lang w:val="en-US"/>
                    </w:rPr>
                  </w:pPr>
                  <w:r w:rsidRPr="00B02D2C">
                    <w:rPr>
                      <w:rFonts w:eastAsia="Times New Roman"/>
                      <w:color w:val="000000"/>
                      <w:sz w:val="18"/>
                      <w:szCs w:val="18"/>
                      <w:lang w:val="es-PE"/>
                    </w:rPr>
                    <w:t>4,</w:t>
                  </w:r>
                  <w:r w:rsidR="00BD34D3" w:rsidRPr="00B02D2C">
                    <w:rPr>
                      <w:rFonts w:eastAsia="Times New Roman"/>
                      <w:color w:val="000000"/>
                      <w:sz w:val="18"/>
                      <w:szCs w:val="18"/>
                      <w:lang w:val="es-PE"/>
                    </w:rPr>
                    <w:t>6</w:t>
                  </w:r>
                </w:p>
              </w:tc>
              <w:tc>
                <w:tcPr>
                  <w:tcW w:w="576" w:type="dxa"/>
                  <w:tcBorders>
                    <w:top w:val="nil"/>
                    <w:left w:val="nil"/>
                    <w:bottom w:val="single" w:sz="8" w:space="0" w:color="auto"/>
                    <w:right w:val="nil"/>
                  </w:tcBorders>
                  <w:shd w:val="clear" w:color="000000" w:fill="FFFFFF"/>
                  <w:noWrap/>
                  <w:vAlign w:val="center"/>
                  <w:hideMark/>
                </w:tcPr>
                <w:p w14:paraId="589AA13B" w14:textId="519103FC"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5,</w:t>
                  </w:r>
                  <w:r w:rsidR="007A59FB" w:rsidRPr="00B02D2C">
                    <w:rPr>
                      <w:rFonts w:eastAsia="Times New Roman"/>
                      <w:color w:val="000000"/>
                      <w:sz w:val="18"/>
                      <w:szCs w:val="18"/>
                      <w:lang w:val="es-PE"/>
                    </w:rPr>
                    <w:t>0</w:t>
                  </w:r>
                </w:p>
              </w:tc>
              <w:tc>
                <w:tcPr>
                  <w:tcW w:w="576" w:type="dxa"/>
                  <w:tcBorders>
                    <w:top w:val="nil"/>
                    <w:left w:val="nil"/>
                    <w:bottom w:val="single" w:sz="8" w:space="0" w:color="auto"/>
                    <w:right w:val="nil"/>
                  </w:tcBorders>
                  <w:shd w:val="clear" w:color="000000" w:fill="FFFFFF"/>
                  <w:noWrap/>
                  <w:vAlign w:val="center"/>
                  <w:hideMark/>
                </w:tcPr>
                <w:p w14:paraId="3F282D13" w14:textId="03115253"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4,</w:t>
                  </w:r>
                  <w:r w:rsidR="007A59FB" w:rsidRPr="00B02D2C">
                    <w:rPr>
                      <w:rFonts w:eastAsia="Times New Roman"/>
                      <w:color w:val="000000"/>
                      <w:sz w:val="18"/>
                      <w:szCs w:val="18"/>
                      <w:lang w:val="es-PE"/>
                    </w:rPr>
                    <w:t>9</w:t>
                  </w:r>
                </w:p>
              </w:tc>
              <w:tc>
                <w:tcPr>
                  <w:tcW w:w="838" w:type="dxa"/>
                  <w:tcBorders>
                    <w:top w:val="nil"/>
                    <w:left w:val="nil"/>
                    <w:bottom w:val="single" w:sz="8" w:space="0" w:color="auto"/>
                    <w:right w:val="nil"/>
                  </w:tcBorders>
                  <w:shd w:val="clear" w:color="000000" w:fill="FFFFFF"/>
                  <w:noWrap/>
                  <w:vAlign w:val="center"/>
                  <w:hideMark/>
                </w:tcPr>
                <w:p w14:paraId="0356072D" w14:textId="64A6E41B"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4,</w:t>
                  </w:r>
                  <w:r w:rsidR="007A59FB" w:rsidRPr="00B02D2C">
                    <w:rPr>
                      <w:rFonts w:eastAsia="Times New Roman"/>
                      <w:color w:val="000000"/>
                      <w:sz w:val="18"/>
                      <w:szCs w:val="18"/>
                      <w:lang w:val="es-PE"/>
                    </w:rPr>
                    <w:t>7</w:t>
                  </w:r>
                </w:p>
              </w:tc>
              <w:tc>
                <w:tcPr>
                  <w:tcW w:w="576" w:type="dxa"/>
                  <w:tcBorders>
                    <w:top w:val="nil"/>
                    <w:left w:val="nil"/>
                    <w:bottom w:val="single" w:sz="8" w:space="0" w:color="auto"/>
                    <w:right w:val="nil"/>
                  </w:tcBorders>
                  <w:shd w:val="clear" w:color="000000" w:fill="FFFFFF"/>
                  <w:noWrap/>
                  <w:vAlign w:val="center"/>
                  <w:hideMark/>
                </w:tcPr>
                <w:p w14:paraId="165DF196" w14:textId="4E49EF50"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5,</w:t>
                  </w:r>
                  <w:r w:rsidR="007A59FB" w:rsidRPr="00B02D2C">
                    <w:rPr>
                      <w:rFonts w:eastAsia="Times New Roman"/>
                      <w:color w:val="000000"/>
                      <w:sz w:val="18"/>
                      <w:szCs w:val="18"/>
                      <w:lang w:val="es-PE"/>
                    </w:rPr>
                    <w:t>0</w:t>
                  </w:r>
                </w:p>
              </w:tc>
              <w:tc>
                <w:tcPr>
                  <w:tcW w:w="576" w:type="dxa"/>
                  <w:tcBorders>
                    <w:top w:val="nil"/>
                    <w:left w:val="nil"/>
                    <w:bottom w:val="single" w:sz="8" w:space="0" w:color="auto"/>
                    <w:right w:val="nil"/>
                  </w:tcBorders>
                  <w:shd w:val="clear" w:color="000000" w:fill="FFFFFF"/>
                  <w:noWrap/>
                  <w:vAlign w:val="center"/>
                  <w:hideMark/>
                </w:tcPr>
                <w:p w14:paraId="2D09CFB9" w14:textId="63564827"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4,</w:t>
                  </w:r>
                  <w:r w:rsidR="007A59FB" w:rsidRPr="00B02D2C">
                    <w:rPr>
                      <w:rFonts w:eastAsia="Times New Roman"/>
                      <w:color w:val="000000"/>
                      <w:sz w:val="18"/>
                      <w:szCs w:val="18"/>
                      <w:lang w:val="es-PE"/>
                    </w:rPr>
                    <w:t>8</w:t>
                  </w:r>
                </w:p>
              </w:tc>
              <w:tc>
                <w:tcPr>
                  <w:tcW w:w="576" w:type="dxa"/>
                  <w:tcBorders>
                    <w:top w:val="nil"/>
                    <w:left w:val="nil"/>
                    <w:bottom w:val="single" w:sz="8" w:space="0" w:color="auto"/>
                    <w:right w:val="nil"/>
                  </w:tcBorders>
                  <w:shd w:val="clear" w:color="000000" w:fill="FFFFFF"/>
                  <w:noWrap/>
                  <w:vAlign w:val="center"/>
                  <w:hideMark/>
                </w:tcPr>
                <w:p w14:paraId="6C72C9F1" w14:textId="5D818910"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4,</w:t>
                  </w:r>
                  <w:r w:rsidR="007A59FB" w:rsidRPr="00B02D2C">
                    <w:rPr>
                      <w:rFonts w:eastAsia="Times New Roman"/>
                      <w:color w:val="000000"/>
                      <w:sz w:val="18"/>
                      <w:szCs w:val="18"/>
                      <w:lang w:val="es-PE"/>
                    </w:rPr>
                    <w:t>3</w:t>
                  </w:r>
                </w:p>
              </w:tc>
            </w:tr>
            <w:tr w:rsidR="002C7444" w:rsidRPr="00B02D2C" w14:paraId="08A25FB0" w14:textId="77777777" w:rsidTr="002C7444">
              <w:trPr>
                <w:trHeight w:val="278"/>
              </w:trPr>
              <w:tc>
                <w:tcPr>
                  <w:tcW w:w="4818" w:type="dxa"/>
                  <w:tcBorders>
                    <w:top w:val="nil"/>
                    <w:left w:val="nil"/>
                    <w:bottom w:val="nil"/>
                    <w:right w:val="nil"/>
                  </w:tcBorders>
                  <w:shd w:val="clear" w:color="000000" w:fill="FFFFFF"/>
                  <w:noWrap/>
                  <w:vAlign w:val="center"/>
                  <w:hideMark/>
                </w:tcPr>
                <w:p w14:paraId="1D6A6AC3" w14:textId="3A7FBEAA" w:rsidR="007A59FB" w:rsidRPr="00B02D2C" w:rsidRDefault="007A59FB" w:rsidP="00C53DB3">
                  <w:pPr>
                    <w:rPr>
                      <w:rFonts w:eastAsia="Times New Roman"/>
                      <w:color w:val="000000"/>
                      <w:sz w:val="18"/>
                      <w:szCs w:val="18"/>
                      <w:lang w:val="es-CL"/>
                    </w:rPr>
                  </w:pPr>
                  <w:r w:rsidRPr="00B02D2C">
                    <w:rPr>
                      <w:rFonts w:eastAsia="Times New Roman"/>
                      <w:color w:val="000000"/>
                      <w:sz w:val="18"/>
                      <w:szCs w:val="18"/>
                      <w:lang w:val="es-PE"/>
                    </w:rPr>
                    <w:t xml:space="preserve">3. Precio de cobre </w:t>
                  </w:r>
                  <w:r w:rsidR="00C53DB3" w:rsidRPr="00B02D2C">
                    <w:rPr>
                      <w:rFonts w:eastAsia="Times New Roman"/>
                      <w:color w:val="000000"/>
                      <w:sz w:val="18"/>
                      <w:szCs w:val="18"/>
                      <w:lang w:val="es-PE"/>
                    </w:rPr>
                    <w:t>efectivo</w:t>
                  </w:r>
                  <w:r w:rsidRPr="00B02D2C">
                    <w:rPr>
                      <w:rFonts w:eastAsia="Times New Roman"/>
                      <w:color w:val="000000"/>
                      <w:sz w:val="18"/>
                      <w:szCs w:val="18"/>
                      <w:lang w:val="es-PE"/>
                    </w:rPr>
                    <w:t xml:space="preserve"> (nominal US$/Lb)</w:t>
                  </w:r>
                </w:p>
              </w:tc>
              <w:tc>
                <w:tcPr>
                  <w:tcW w:w="838" w:type="dxa"/>
                  <w:tcBorders>
                    <w:top w:val="nil"/>
                    <w:left w:val="nil"/>
                    <w:bottom w:val="nil"/>
                    <w:right w:val="nil"/>
                  </w:tcBorders>
                  <w:shd w:val="clear" w:color="000000" w:fill="FFFFFF"/>
                  <w:noWrap/>
                  <w:vAlign w:val="center"/>
                  <w:hideMark/>
                </w:tcPr>
                <w:p w14:paraId="168E841F" w14:textId="0B6F3D67"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0,</w:t>
                  </w:r>
                  <w:r w:rsidR="007A59FB" w:rsidRPr="00B02D2C">
                    <w:rPr>
                      <w:rFonts w:eastAsia="Times New Roman"/>
                      <w:color w:val="000000"/>
                      <w:sz w:val="18"/>
                      <w:szCs w:val="18"/>
                      <w:lang w:val="es-PE"/>
                    </w:rPr>
                    <w:t>74</w:t>
                  </w:r>
                </w:p>
              </w:tc>
              <w:tc>
                <w:tcPr>
                  <w:tcW w:w="838" w:type="dxa"/>
                  <w:tcBorders>
                    <w:top w:val="nil"/>
                    <w:left w:val="nil"/>
                    <w:bottom w:val="nil"/>
                    <w:right w:val="nil"/>
                  </w:tcBorders>
                  <w:shd w:val="clear" w:color="000000" w:fill="FFFFFF"/>
                  <w:noWrap/>
                  <w:vAlign w:val="center"/>
                  <w:hideMark/>
                </w:tcPr>
                <w:p w14:paraId="746F6576" w14:textId="196F4F6E"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2,</w:t>
                  </w:r>
                  <w:r w:rsidR="007A59FB" w:rsidRPr="00B02D2C">
                    <w:rPr>
                      <w:rFonts w:eastAsia="Times New Roman"/>
                      <w:color w:val="000000"/>
                      <w:sz w:val="18"/>
                      <w:szCs w:val="18"/>
                      <w:lang w:val="es-PE"/>
                    </w:rPr>
                    <w:t>31</w:t>
                  </w:r>
                </w:p>
              </w:tc>
              <w:tc>
                <w:tcPr>
                  <w:tcW w:w="576" w:type="dxa"/>
                  <w:tcBorders>
                    <w:top w:val="nil"/>
                    <w:left w:val="nil"/>
                    <w:bottom w:val="nil"/>
                    <w:right w:val="nil"/>
                  </w:tcBorders>
                  <w:shd w:val="clear" w:color="000000" w:fill="FFFFFF"/>
                  <w:noWrap/>
                  <w:vAlign w:val="center"/>
                  <w:hideMark/>
                </w:tcPr>
                <w:p w14:paraId="709455A7" w14:textId="59E728B8"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3,</w:t>
                  </w:r>
                  <w:r w:rsidR="007A59FB" w:rsidRPr="00B02D2C">
                    <w:rPr>
                      <w:rFonts w:eastAsia="Times New Roman"/>
                      <w:color w:val="000000"/>
                      <w:sz w:val="18"/>
                      <w:szCs w:val="18"/>
                      <w:lang w:val="es-PE"/>
                    </w:rPr>
                    <w:t>16</w:t>
                  </w:r>
                </w:p>
              </w:tc>
              <w:tc>
                <w:tcPr>
                  <w:tcW w:w="576" w:type="dxa"/>
                  <w:tcBorders>
                    <w:top w:val="nil"/>
                    <w:left w:val="nil"/>
                    <w:bottom w:val="nil"/>
                    <w:right w:val="nil"/>
                  </w:tcBorders>
                  <w:shd w:val="clear" w:color="000000" w:fill="FFFFFF"/>
                  <w:noWrap/>
                  <w:vAlign w:val="center"/>
                  <w:hideMark/>
                </w:tcPr>
                <w:p w14:paraId="05A6D631" w14:textId="10B2B31C"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2,</w:t>
                  </w:r>
                  <w:r w:rsidR="007A59FB" w:rsidRPr="00B02D2C">
                    <w:rPr>
                      <w:rFonts w:eastAsia="Times New Roman"/>
                      <w:color w:val="000000"/>
                      <w:sz w:val="18"/>
                      <w:szCs w:val="18"/>
                      <w:lang w:val="es-PE"/>
                    </w:rPr>
                    <w:t>34</w:t>
                  </w:r>
                </w:p>
              </w:tc>
              <w:tc>
                <w:tcPr>
                  <w:tcW w:w="838" w:type="dxa"/>
                  <w:tcBorders>
                    <w:top w:val="nil"/>
                    <w:left w:val="nil"/>
                    <w:bottom w:val="nil"/>
                    <w:right w:val="nil"/>
                  </w:tcBorders>
                  <w:shd w:val="clear" w:color="000000" w:fill="FFFFFF"/>
                  <w:noWrap/>
                  <w:vAlign w:val="center"/>
                  <w:hideMark/>
                </w:tcPr>
                <w:p w14:paraId="6C73C647" w14:textId="785E62E2"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3,</w:t>
                  </w:r>
                  <w:r w:rsidR="007A59FB" w:rsidRPr="00B02D2C">
                    <w:rPr>
                      <w:rFonts w:eastAsia="Times New Roman"/>
                      <w:color w:val="000000"/>
                      <w:sz w:val="18"/>
                      <w:szCs w:val="18"/>
                      <w:lang w:val="es-PE"/>
                    </w:rPr>
                    <w:t>68</w:t>
                  </w:r>
                </w:p>
              </w:tc>
              <w:tc>
                <w:tcPr>
                  <w:tcW w:w="576" w:type="dxa"/>
                  <w:tcBorders>
                    <w:top w:val="nil"/>
                    <w:left w:val="nil"/>
                    <w:bottom w:val="nil"/>
                    <w:right w:val="nil"/>
                  </w:tcBorders>
                  <w:shd w:val="clear" w:color="000000" w:fill="FFFFFF"/>
                  <w:noWrap/>
                  <w:vAlign w:val="center"/>
                  <w:hideMark/>
                </w:tcPr>
                <w:p w14:paraId="308A7FA4" w14:textId="02DA64B0"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3,</w:t>
                  </w:r>
                  <w:r w:rsidR="007A59FB" w:rsidRPr="00B02D2C">
                    <w:rPr>
                      <w:rFonts w:eastAsia="Times New Roman"/>
                      <w:color w:val="000000"/>
                      <w:sz w:val="18"/>
                      <w:szCs w:val="18"/>
                      <w:lang w:val="es-PE"/>
                    </w:rPr>
                    <w:t>32</w:t>
                  </w:r>
                </w:p>
              </w:tc>
              <w:tc>
                <w:tcPr>
                  <w:tcW w:w="576" w:type="dxa"/>
                  <w:tcBorders>
                    <w:top w:val="nil"/>
                    <w:left w:val="nil"/>
                    <w:bottom w:val="nil"/>
                    <w:right w:val="nil"/>
                  </w:tcBorders>
                  <w:shd w:val="clear" w:color="000000" w:fill="FFFFFF"/>
                  <w:noWrap/>
                  <w:vAlign w:val="center"/>
                  <w:hideMark/>
                </w:tcPr>
                <w:p w14:paraId="4C4F7525" w14:textId="23CAF223"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3,</w:t>
                  </w:r>
                  <w:r w:rsidR="007A59FB" w:rsidRPr="00B02D2C">
                    <w:rPr>
                      <w:rFonts w:eastAsia="Times New Roman"/>
                      <w:color w:val="000000"/>
                      <w:sz w:val="18"/>
                      <w:szCs w:val="18"/>
                      <w:lang w:val="es-PE"/>
                    </w:rPr>
                    <w:t>11</w:t>
                  </w:r>
                </w:p>
              </w:tc>
              <w:tc>
                <w:tcPr>
                  <w:tcW w:w="576" w:type="dxa"/>
                  <w:tcBorders>
                    <w:top w:val="nil"/>
                    <w:left w:val="nil"/>
                    <w:bottom w:val="nil"/>
                    <w:right w:val="nil"/>
                  </w:tcBorders>
                  <w:shd w:val="clear" w:color="000000" w:fill="FFFFFF"/>
                  <w:noWrap/>
                  <w:vAlign w:val="center"/>
                  <w:hideMark/>
                </w:tcPr>
                <w:p w14:paraId="1F4DD99F" w14:textId="789278F0"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2,</w:t>
                  </w:r>
                  <w:r w:rsidR="007A59FB" w:rsidRPr="00B02D2C">
                    <w:rPr>
                      <w:rFonts w:eastAsia="Times New Roman"/>
                      <w:color w:val="000000"/>
                      <w:sz w:val="18"/>
                      <w:szCs w:val="18"/>
                      <w:lang w:val="es-PE"/>
                    </w:rPr>
                    <w:t>49</w:t>
                  </w:r>
                </w:p>
              </w:tc>
            </w:tr>
            <w:tr w:rsidR="002C7444" w:rsidRPr="00B02D2C" w14:paraId="6F3B0523" w14:textId="77777777" w:rsidTr="002C7444">
              <w:trPr>
                <w:trHeight w:val="292"/>
              </w:trPr>
              <w:tc>
                <w:tcPr>
                  <w:tcW w:w="4818" w:type="dxa"/>
                  <w:tcBorders>
                    <w:top w:val="nil"/>
                    <w:left w:val="nil"/>
                    <w:bottom w:val="single" w:sz="8" w:space="0" w:color="auto"/>
                    <w:right w:val="nil"/>
                  </w:tcBorders>
                  <w:shd w:val="clear" w:color="000000" w:fill="FFFFFF"/>
                  <w:noWrap/>
                  <w:vAlign w:val="center"/>
                  <w:hideMark/>
                </w:tcPr>
                <w:p w14:paraId="583D9BE2" w14:textId="77777777" w:rsidR="007A59FB" w:rsidRPr="00B02D2C" w:rsidRDefault="007A59FB" w:rsidP="007A59FB">
                  <w:pPr>
                    <w:rPr>
                      <w:rFonts w:eastAsia="Times New Roman"/>
                      <w:color w:val="000000"/>
                      <w:sz w:val="18"/>
                      <w:szCs w:val="18"/>
                      <w:lang w:val="es-CL"/>
                    </w:rPr>
                  </w:pPr>
                  <w:r w:rsidRPr="00B02D2C">
                    <w:rPr>
                      <w:rFonts w:eastAsia="Times New Roman"/>
                      <w:color w:val="000000"/>
                      <w:sz w:val="18"/>
                      <w:szCs w:val="18"/>
                      <w:lang w:val="es-PE"/>
                    </w:rPr>
                    <w:t>4. Precio del cobre tendencial (nominal US$/Lb)</w:t>
                  </w:r>
                </w:p>
              </w:tc>
              <w:tc>
                <w:tcPr>
                  <w:tcW w:w="838" w:type="dxa"/>
                  <w:tcBorders>
                    <w:top w:val="nil"/>
                    <w:left w:val="nil"/>
                    <w:bottom w:val="single" w:sz="8" w:space="0" w:color="auto"/>
                    <w:right w:val="nil"/>
                  </w:tcBorders>
                  <w:shd w:val="clear" w:color="000000" w:fill="FFFFFF"/>
                  <w:noWrap/>
                  <w:vAlign w:val="center"/>
                  <w:hideMark/>
                </w:tcPr>
                <w:p w14:paraId="4E9208BD" w14:textId="41DE5ED1"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0,</w:t>
                  </w:r>
                  <w:r w:rsidR="007A59FB" w:rsidRPr="00B02D2C">
                    <w:rPr>
                      <w:rFonts w:eastAsia="Times New Roman"/>
                      <w:color w:val="000000"/>
                      <w:sz w:val="18"/>
                      <w:szCs w:val="18"/>
                      <w:lang w:val="es-PE"/>
                    </w:rPr>
                    <w:t>9</w:t>
                  </w:r>
                </w:p>
              </w:tc>
              <w:tc>
                <w:tcPr>
                  <w:tcW w:w="838" w:type="dxa"/>
                  <w:tcBorders>
                    <w:top w:val="nil"/>
                    <w:left w:val="nil"/>
                    <w:bottom w:val="single" w:sz="8" w:space="0" w:color="auto"/>
                    <w:right w:val="nil"/>
                  </w:tcBorders>
                  <w:shd w:val="clear" w:color="000000" w:fill="FFFFFF"/>
                  <w:noWrap/>
                  <w:vAlign w:val="center"/>
                  <w:hideMark/>
                </w:tcPr>
                <w:p w14:paraId="53661A1E" w14:textId="63C80D8F"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1,</w:t>
                  </w:r>
                  <w:r w:rsidR="007A59FB" w:rsidRPr="00B02D2C">
                    <w:rPr>
                      <w:rFonts w:eastAsia="Times New Roman"/>
                      <w:color w:val="000000"/>
                      <w:sz w:val="18"/>
                      <w:szCs w:val="18"/>
                      <w:lang w:val="es-PE"/>
                    </w:rPr>
                    <w:t>0</w:t>
                  </w:r>
                </w:p>
              </w:tc>
              <w:tc>
                <w:tcPr>
                  <w:tcW w:w="576" w:type="dxa"/>
                  <w:tcBorders>
                    <w:top w:val="nil"/>
                    <w:left w:val="nil"/>
                    <w:bottom w:val="single" w:sz="8" w:space="0" w:color="auto"/>
                    <w:right w:val="nil"/>
                  </w:tcBorders>
                  <w:shd w:val="clear" w:color="000000" w:fill="FFFFFF"/>
                  <w:noWrap/>
                  <w:vAlign w:val="center"/>
                  <w:hideMark/>
                </w:tcPr>
                <w:p w14:paraId="0F04DA7A" w14:textId="0FCDB049"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1,</w:t>
                  </w:r>
                  <w:r w:rsidR="007A59FB" w:rsidRPr="00B02D2C">
                    <w:rPr>
                      <w:rFonts w:eastAsia="Times New Roman"/>
                      <w:color w:val="000000"/>
                      <w:sz w:val="18"/>
                      <w:szCs w:val="18"/>
                      <w:lang w:val="es-PE"/>
                    </w:rPr>
                    <w:t>37</w:t>
                  </w:r>
                </w:p>
              </w:tc>
              <w:tc>
                <w:tcPr>
                  <w:tcW w:w="576" w:type="dxa"/>
                  <w:tcBorders>
                    <w:top w:val="nil"/>
                    <w:left w:val="nil"/>
                    <w:bottom w:val="single" w:sz="8" w:space="0" w:color="auto"/>
                    <w:right w:val="nil"/>
                  </w:tcBorders>
                  <w:shd w:val="clear" w:color="000000" w:fill="FFFFFF"/>
                  <w:noWrap/>
                  <w:vAlign w:val="center"/>
                  <w:hideMark/>
                </w:tcPr>
                <w:p w14:paraId="483E2B2C" w14:textId="0D3A65C2"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1,</w:t>
                  </w:r>
                  <w:r w:rsidR="007A59FB" w:rsidRPr="00B02D2C">
                    <w:rPr>
                      <w:rFonts w:eastAsia="Times New Roman"/>
                      <w:color w:val="000000"/>
                      <w:sz w:val="18"/>
                      <w:szCs w:val="18"/>
                      <w:lang w:val="es-PE"/>
                    </w:rPr>
                    <w:t>99</w:t>
                  </w:r>
                </w:p>
              </w:tc>
              <w:tc>
                <w:tcPr>
                  <w:tcW w:w="838" w:type="dxa"/>
                  <w:tcBorders>
                    <w:top w:val="nil"/>
                    <w:left w:val="nil"/>
                    <w:bottom w:val="single" w:sz="8" w:space="0" w:color="auto"/>
                    <w:right w:val="nil"/>
                  </w:tcBorders>
                  <w:shd w:val="clear" w:color="000000" w:fill="FFFFFF"/>
                  <w:noWrap/>
                  <w:vAlign w:val="center"/>
                  <w:hideMark/>
                </w:tcPr>
                <w:p w14:paraId="140B2150" w14:textId="3A88C820"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2,</w:t>
                  </w:r>
                  <w:r w:rsidR="007A59FB" w:rsidRPr="00B02D2C">
                    <w:rPr>
                      <w:rFonts w:eastAsia="Times New Roman"/>
                      <w:color w:val="000000"/>
                      <w:sz w:val="18"/>
                      <w:szCs w:val="18"/>
                      <w:lang w:val="es-PE"/>
                    </w:rPr>
                    <w:t>58</w:t>
                  </w:r>
                </w:p>
              </w:tc>
              <w:tc>
                <w:tcPr>
                  <w:tcW w:w="576" w:type="dxa"/>
                  <w:tcBorders>
                    <w:top w:val="nil"/>
                    <w:left w:val="nil"/>
                    <w:bottom w:val="single" w:sz="8" w:space="0" w:color="auto"/>
                    <w:right w:val="nil"/>
                  </w:tcBorders>
                  <w:shd w:val="clear" w:color="000000" w:fill="FFFFFF"/>
                  <w:noWrap/>
                  <w:vAlign w:val="center"/>
                  <w:hideMark/>
                </w:tcPr>
                <w:p w14:paraId="0A09A3E0" w14:textId="59228E0E"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3,</w:t>
                  </w:r>
                  <w:r w:rsidR="007A59FB" w:rsidRPr="00B02D2C">
                    <w:rPr>
                      <w:rFonts w:eastAsia="Times New Roman"/>
                      <w:color w:val="000000"/>
                      <w:sz w:val="18"/>
                      <w:szCs w:val="18"/>
                      <w:lang w:val="es-PE"/>
                    </w:rPr>
                    <w:t>06</w:t>
                  </w:r>
                </w:p>
              </w:tc>
              <w:tc>
                <w:tcPr>
                  <w:tcW w:w="576" w:type="dxa"/>
                  <w:tcBorders>
                    <w:top w:val="nil"/>
                    <w:left w:val="nil"/>
                    <w:bottom w:val="single" w:sz="8" w:space="0" w:color="auto"/>
                    <w:right w:val="nil"/>
                  </w:tcBorders>
                  <w:shd w:val="clear" w:color="000000" w:fill="FFFFFF"/>
                  <w:noWrap/>
                  <w:vAlign w:val="center"/>
                  <w:hideMark/>
                </w:tcPr>
                <w:p w14:paraId="2EE0897D" w14:textId="1C6C6B7A"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3,</w:t>
                  </w:r>
                  <w:r w:rsidR="007A59FB" w:rsidRPr="00B02D2C">
                    <w:rPr>
                      <w:rFonts w:eastAsia="Times New Roman"/>
                      <w:color w:val="000000"/>
                      <w:sz w:val="18"/>
                      <w:szCs w:val="18"/>
                      <w:lang w:val="es-PE"/>
                    </w:rPr>
                    <w:t>04</w:t>
                  </w:r>
                </w:p>
              </w:tc>
              <w:tc>
                <w:tcPr>
                  <w:tcW w:w="576" w:type="dxa"/>
                  <w:tcBorders>
                    <w:top w:val="nil"/>
                    <w:left w:val="nil"/>
                    <w:bottom w:val="single" w:sz="8" w:space="0" w:color="auto"/>
                    <w:right w:val="nil"/>
                  </w:tcBorders>
                  <w:shd w:val="clear" w:color="000000" w:fill="FFFFFF"/>
                  <w:noWrap/>
                  <w:vAlign w:val="center"/>
                  <w:hideMark/>
                </w:tcPr>
                <w:p w14:paraId="77075454" w14:textId="156FC95B"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3,</w:t>
                  </w:r>
                  <w:r w:rsidR="007A59FB" w:rsidRPr="00B02D2C">
                    <w:rPr>
                      <w:rFonts w:eastAsia="Times New Roman"/>
                      <w:color w:val="000000"/>
                      <w:sz w:val="18"/>
                      <w:szCs w:val="18"/>
                      <w:lang w:val="es-PE"/>
                    </w:rPr>
                    <w:t>07</w:t>
                  </w:r>
                </w:p>
              </w:tc>
            </w:tr>
            <w:tr w:rsidR="002C7444" w:rsidRPr="00B02D2C" w14:paraId="1DF278D0" w14:textId="77777777" w:rsidTr="002C7444">
              <w:trPr>
                <w:trHeight w:val="278"/>
              </w:trPr>
              <w:tc>
                <w:tcPr>
                  <w:tcW w:w="4818" w:type="dxa"/>
                  <w:tcBorders>
                    <w:top w:val="nil"/>
                    <w:left w:val="nil"/>
                    <w:bottom w:val="nil"/>
                    <w:right w:val="nil"/>
                  </w:tcBorders>
                  <w:shd w:val="clear" w:color="000000" w:fill="FFFFFF"/>
                  <w:noWrap/>
                  <w:vAlign w:val="center"/>
                  <w:hideMark/>
                </w:tcPr>
                <w:p w14:paraId="4640FBD6" w14:textId="77777777" w:rsidR="007A59FB" w:rsidRPr="00B02D2C" w:rsidRDefault="007A59FB" w:rsidP="007A59FB">
                  <w:pPr>
                    <w:rPr>
                      <w:rFonts w:eastAsia="Times New Roman"/>
                      <w:color w:val="000000"/>
                      <w:sz w:val="18"/>
                      <w:szCs w:val="18"/>
                      <w:lang w:val="es-CL"/>
                    </w:rPr>
                  </w:pPr>
                  <w:r w:rsidRPr="00B02D2C">
                    <w:rPr>
                      <w:rFonts w:eastAsia="Times New Roman"/>
                      <w:color w:val="000000"/>
                      <w:sz w:val="18"/>
                      <w:szCs w:val="18"/>
                      <w:lang w:val="es-PE"/>
                    </w:rPr>
                    <w:t>5. Balance fiscal efectivo (% del PBI corriente)</w:t>
                  </w:r>
                </w:p>
              </w:tc>
              <w:tc>
                <w:tcPr>
                  <w:tcW w:w="838" w:type="dxa"/>
                  <w:tcBorders>
                    <w:top w:val="nil"/>
                    <w:left w:val="nil"/>
                    <w:bottom w:val="nil"/>
                    <w:right w:val="nil"/>
                  </w:tcBorders>
                  <w:shd w:val="clear" w:color="000000" w:fill="FFFFFF"/>
                  <w:noWrap/>
                  <w:vAlign w:val="center"/>
                  <w:hideMark/>
                </w:tcPr>
                <w:p w14:paraId="460A1EC7" w14:textId="0CE08607"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-0,</w:t>
                  </w:r>
                  <w:r w:rsidR="007A59FB" w:rsidRPr="00B02D2C">
                    <w:rPr>
                      <w:rFonts w:eastAsia="Times New Roman"/>
                      <w:color w:val="000000"/>
                      <w:sz w:val="18"/>
                      <w:szCs w:val="18"/>
                      <w:lang w:val="es-PE"/>
                    </w:rPr>
                    <w:t>7</w:t>
                  </w:r>
                </w:p>
              </w:tc>
              <w:tc>
                <w:tcPr>
                  <w:tcW w:w="838" w:type="dxa"/>
                  <w:tcBorders>
                    <w:top w:val="nil"/>
                    <w:left w:val="nil"/>
                    <w:bottom w:val="nil"/>
                    <w:right w:val="nil"/>
                  </w:tcBorders>
                  <w:shd w:val="clear" w:color="000000" w:fill="FFFFFF"/>
                  <w:noWrap/>
                  <w:vAlign w:val="center"/>
                  <w:hideMark/>
                </w:tcPr>
                <w:p w14:paraId="0D4B9090" w14:textId="4E35249E"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5,</w:t>
                  </w:r>
                  <w:r w:rsidR="007A59FB" w:rsidRPr="00B02D2C">
                    <w:rPr>
                      <w:rFonts w:eastAsia="Times New Roman"/>
                      <w:color w:val="000000"/>
                      <w:sz w:val="18"/>
                      <w:szCs w:val="18"/>
                      <w:lang w:val="es-PE"/>
                    </w:rPr>
                    <w:t>4</w:t>
                  </w:r>
                </w:p>
              </w:tc>
              <w:tc>
                <w:tcPr>
                  <w:tcW w:w="576" w:type="dxa"/>
                  <w:tcBorders>
                    <w:top w:val="nil"/>
                    <w:left w:val="nil"/>
                    <w:bottom w:val="nil"/>
                    <w:right w:val="nil"/>
                  </w:tcBorders>
                  <w:shd w:val="clear" w:color="000000" w:fill="FFFFFF"/>
                  <w:noWrap/>
                  <w:vAlign w:val="center"/>
                  <w:hideMark/>
                </w:tcPr>
                <w:p w14:paraId="26F596BE" w14:textId="078A3966"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3,</w:t>
                  </w:r>
                  <w:r w:rsidR="007A59FB" w:rsidRPr="00B02D2C">
                    <w:rPr>
                      <w:rFonts w:eastAsia="Times New Roman"/>
                      <w:color w:val="000000"/>
                      <w:sz w:val="18"/>
                      <w:szCs w:val="18"/>
                      <w:lang w:val="es-PE"/>
                    </w:rPr>
                    <w:t>9</w:t>
                  </w:r>
                </w:p>
              </w:tc>
              <w:tc>
                <w:tcPr>
                  <w:tcW w:w="576" w:type="dxa"/>
                  <w:tcBorders>
                    <w:top w:val="nil"/>
                    <w:left w:val="nil"/>
                    <w:bottom w:val="nil"/>
                    <w:right w:val="nil"/>
                  </w:tcBorders>
                  <w:shd w:val="clear" w:color="000000" w:fill="FFFFFF"/>
                  <w:noWrap/>
                  <w:vAlign w:val="center"/>
                  <w:hideMark/>
                </w:tcPr>
                <w:p w14:paraId="36A4B3DE" w14:textId="0A5BF9E8"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-4,</w:t>
                  </w:r>
                  <w:r w:rsidR="007A59FB" w:rsidRPr="00B02D2C">
                    <w:rPr>
                      <w:rFonts w:eastAsia="Times New Roman"/>
                      <w:color w:val="000000"/>
                      <w:sz w:val="18"/>
                      <w:szCs w:val="18"/>
                      <w:lang w:val="es-PE"/>
                    </w:rPr>
                    <w:t>4</w:t>
                  </w:r>
                </w:p>
              </w:tc>
              <w:tc>
                <w:tcPr>
                  <w:tcW w:w="838" w:type="dxa"/>
                  <w:tcBorders>
                    <w:top w:val="nil"/>
                    <w:left w:val="nil"/>
                    <w:bottom w:val="nil"/>
                    <w:right w:val="nil"/>
                  </w:tcBorders>
                  <w:shd w:val="clear" w:color="000000" w:fill="FFFFFF"/>
                  <w:noWrap/>
                  <w:vAlign w:val="center"/>
                  <w:hideMark/>
                </w:tcPr>
                <w:p w14:paraId="67951201" w14:textId="34B166D5"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0,</w:t>
                  </w:r>
                  <w:r w:rsidR="007A59FB" w:rsidRPr="00B02D2C">
                    <w:rPr>
                      <w:rFonts w:eastAsia="Times New Roman"/>
                      <w:color w:val="000000"/>
                      <w:sz w:val="18"/>
                      <w:szCs w:val="18"/>
                      <w:lang w:val="es-PE"/>
                    </w:rPr>
                    <w:t>5</w:t>
                  </w:r>
                </w:p>
              </w:tc>
              <w:tc>
                <w:tcPr>
                  <w:tcW w:w="576" w:type="dxa"/>
                  <w:tcBorders>
                    <w:top w:val="nil"/>
                    <w:left w:val="nil"/>
                    <w:bottom w:val="nil"/>
                    <w:right w:val="nil"/>
                  </w:tcBorders>
                  <w:shd w:val="clear" w:color="000000" w:fill="FFFFFF"/>
                  <w:noWrap/>
                  <w:vAlign w:val="center"/>
                  <w:hideMark/>
                </w:tcPr>
                <w:p w14:paraId="5CE09FB5" w14:textId="182B81A7"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-0,</w:t>
                  </w:r>
                  <w:r w:rsidR="007A59FB" w:rsidRPr="00B02D2C">
                    <w:rPr>
                      <w:rFonts w:eastAsia="Times New Roman"/>
                      <w:color w:val="000000"/>
                      <w:sz w:val="18"/>
                      <w:szCs w:val="18"/>
                      <w:lang w:val="es-PE"/>
                    </w:rPr>
                    <w:t>6</w:t>
                  </w:r>
                </w:p>
              </w:tc>
              <w:tc>
                <w:tcPr>
                  <w:tcW w:w="576" w:type="dxa"/>
                  <w:tcBorders>
                    <w:top w:val="nil"/>
                    <w:left w:val="nil"/>
                    <w:bottom w:val="nil"/>
                    <w:right w:val="nil"/>
                  </w:tcBorders>
                  <w:shd w:val="clear" w:color="000000" w:fill="FFFFFF"/>
                  <w:noWrap/>
                  <w:vAlign w:val="center"/>
                  <w:hideMark/>
                </w:tcPr>
                <w:p w14:paraId="305BB972" w14:textId="3FF5D3F9"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-1,</w:t>
                  </w:r>
                  <w:r w:rsidR="007A59FB" w:rsidRPr="00B02D2C">
                    <w:rPr>
                      <w:rFonts w:eastAsia="Times New Roman"/>
                      <w:color w:val="000000"/>
                      <w:sz w:val="18"/>
                      <w:szCs w:val="18"/>
                      <w:lang w:val="es-PE"/>
                    </w:rPr>
                    <w:t>6</w:t>
                  </w:r>
                </w:p>
              </w:tc>
              <w:tc>
                <w:tcPr>
                  <w:tcW w:w="576" w:type="dxa"/>
                  <w:tcBorders>
                    <w:top w:val="nil"/>
                    <w:left w:val="nil"/>
                    <w:bottom w:val="nil"/>
                    <w:right w:val="nil"/>
                  </w:tcBorders>
                  <w:shd w:val="clear" w:color="000000" w:fill="FFFFFF"/>
                  <w:noWrap/>
                  <w:vAlign w:val="center"/>
                  <w:hideMark/>
                </w:tcPr>
                <w:p w14:paraId="49E62A52" w14:textId="2FE28578"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-3,</w:t>
                  </w:r>
                  <w:r w:rsidR="007A59FB" w:rsidRPr="00B02D2C">
                    <w:rPr>
                      <w:rFonts w:eastAsia="Times New Roman"/>
                      <w:color w:val="000000"/>
                      <w:sz w:val="18"/>
                      <w:szCs w:val="18"/>
                      <w:lang w:val="es-PE"/>
                    </w:rPr>
                    <w:t>3</w:t>
                  </w:r>
                </w:p>
              </w:tc>
            </w:tr>
            <w:tr w:rsidR="002C7444" w:rsidRPr="00B02D2C" w14:paraId="28877B5E" w14:textId="77777777" w:rsidTr="002C7444">
              <w:trPr>
                <w:trHeight w:val="292"/>
              </w:trPr>
              <w:tc>
                <w:tcPr>
                  <w:tcW w:w="4818" w:type="dxa"/>
                  <w:tcBorders>
                    <w:top w:val="nil"/>
                    <w:left w:val="nil"/>
                    <w:bottom w:val="single" w:sz="8" w:space="0" w:color="auto"/>
                    <w:right w:val="nil"/>
                  </w:tcBorders>
                  <w:shd w:val="clear" w:color="000000" w:fill="FFFFFF"/>
                  <w:noWrap/>
                  <w:vAlign w:val="center"/>
                  <w:hideMark/>
                </w:tcPr>
                <w:p w14:paraId="7A11820D" w14:textId="77777777" w:rsidR="007A59FB" w:rsidRPr="00B02D2C" w:rsidRDefault="007A59FB" w:rsidP="007A59FB">
                  <w:pPr>
                    <w:rPr>
                      <w:rFonts w:eastAsia="Times New Roman"/>
                      <w:color w:val="000000"/>
                      <w:sz w:val="18"/>
                      <w:szCs w:val="18"/>
                      <w:lang w:val="es-CL"/>
                    </w:rPr>
                  </w:pPr>
                  <w:r w:rsidRPr="00B02D2C">
                    <w:rPr>
                      <w:rFonts w:eastAsia="Times New Roman"/>
                      <w:color w:val="000000"/>
                      <w:sz w:val="18"/>
                      <w:szCs w:val="18"/>
                      <w:lang w:val="es-PE"/>
                    </w:rPr>
                    <w:t>6. Balance fiscal estructural (% del PBI corriente)</w:t>
                  </w:r>
                </w:p>
              </w:tc>
              <w:tc>
                <w:tcPr>
                  <w:tcW w:w="838" w:type="dxa"/>
                  <w:tcBorders>
                    <w:top w:val="nil"/>
                    <w:left w:val="nil"/>
                    <w:bottom w:val="single" w:sz="8" w:space="0" w:color="auto"/>
                    <w:right w:val="nil"/>
                  </w:tcBorders>
                  <w:shd w:val="clear" w:color="000000" w:fill="FFFFFF"/>
                  <w:noWrap/>
                  <w:vAlign w:val="center"/>
                  <w:hideMark/>
                </w:tcPr>
                <w:p w14:paraId="0CB7194C" w14:textId="515C37A7"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0,</w:t>
                  </w:r>
                  <w:r w:rsidR="007A59FB" w:rsidRPr="00B02D2C">
                    <w:rPr>
                      <w:rFonts w:eastAsia="Times New Roman"/>
                      <w:color w:val="000000"/>
                      <w:sz w:val="18"/>
                      <w:szCs w:val="18"/>
                      <w:lang w:val="es-PE"/>
                    </w:rPr>
                    <w:t>9</w:t>
                  </w:r>
                </w:p>
              </w:tc>
              <w:tc>
                <w:tcPr>
                  <w:tcW w:w="838" w:type="dxa"/>
                  <w:tcBorders>
                    <w:top w:val="nil"/>
                    <w:left w:val="nil"/>
                    <w:bottom w:val="single" w:sz="8" w:space="0" w:color="auto"/>
                    <w:right w:val="nil"/>
                  </w:tcBorders>
                  <w:shd w:val="clear" w:color="000000" w:fill="FFFFFF"/>
                  <w:noWrap/>
                  <w:vAlign w:val="center"/>
                  <w:hideMark/>
                </w:tcPr>
                <w:p w14:paraId="675233BA" w14:textId="633C3E9F"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1,</w:t>
                  </w:r>
                  <w:r w:rsidR="007A59FB" w:rsidRPr="00B02D2C">
                    <w:rPr>
                      <w:rFonts w:eastAsia="Times New Roman"/>
                      <w:color w:val="000000"/>
                      <w:sz w:val="18"/>
                      <w:szCs w:val="18"/>
                      <w:lang w:val="es-PE"/>
                    </w:rPr>
                    <w:t>2</w:t>
                  </w:r>
                </w:p>
              </w:tc>
              <w:tc>
                <w:tcPr>
                  <w:tcW w:w="576" w:type="dxa"/>
                  <w:tcBorders>
                    <w:top w:val="nil"/>
                    <w:left w:val="nil"/>
                    <w:bottom w:val="single" w:sz="8" w:space="0" w:color="auto"/>
                    <w:right w:val="nil"/>
                  </w:tcBorders>
                  <w:shd w:val="clear" w:color="000000" w:fill="FFFFFF"/>
                  <w:noWrap/>
                  <w:vAlign w:val="center"/>
                  <w:hideMark/>
                </w:tcPr>
                <w:p w14:paraId="57974C79" w14:textId="1C6BE7C4"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 xml:space="preserve"> 0,</w:t>
                  </w:r>
                  <w:r w:rsidR="007A59FB" w:rsidRPr="00B02D2C">
                    <w:rPr>
                      <w:rFonts w:eastAsia="Times New Roman"/>
                      <w:color w:val="000000"/>
                      <w:sz w:val="18"/>
                      <w:szCs w:val="18"/>
                      <w:lang w:val="es-PE"/>
                    </w:rPr>
                    <w:t>0°</w:t>
                  </w:r>
                </w:p>
              </w:tc>
              <w:tc>
                <w:tcPr>
                  <w:tcW w:w="576" w:type="dxa"/>
                  <w:tcBorders>
                    <w:top w:val="nil"/>
                    <w:left w:val="nil"/>
                    <w:bottom w:val="single" w:sz="8" w:space="0" w:color="auto"/>
                    <w:right w:val="nil"/>
                  </w:tcBorders>
                  <w:shd w:val="clear" w:color="000000" w:fill="FFFFFF"/>
                  <w:noWrap/>
                  <w:vAlign w:val="center"/>
                  <w:hideMark/>
                </w:tcPr>
                <w:p w14:paraId="625D98FE" w14:textId="57993A96"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 xml:space="preserve"> -1,</w:t>
                  </w:r>
                  <w:r w:rsidR="007A59FB" w:rsidRPr="00B02D2C">
                    <w:rPr>
                      <w:rFonts w:eastAsia="Times New Roman"/>
                      <w:color w:val="000000"/>
                      <w:sz w:val="18"/>
                      <w:szCs w:val="18"/>
                      <w:lang w:val="es-PE"/>
                    </w:rPr>
                    <w:t>2°</w:t>
                  </w:r>
                </w:p>
              </w:tc>
              <w:tc>
                <w:tcPr>
                  <w:tcW w:w="838" w:type="dxa"/>
                  <w:tcBorders>
                    <w:top w:val="nil"/>
                    <w:left w:val="nil"/>
                    <w:bottom w:val="single" w:sz="8" w:space="0" w:color="auto"/>
                    <w:right w:val="nil"/>
                  </w:tcBorders>
                  <w:shd w:val="clear" w:color="000000" w:fill="FFFFFF"/>
                  <w:noWrap/>
                  <w:vAlign w:val="center"/>
                  <w:hideMark/>
                </w:tcPr>
                <w:p w14:paraId="3BC33CB6" w14:textId="0D4869E5"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-1,</w:t>
                  </w:r>
                  <w:r w:rsidR="007A59FB" w:rsidRPr="00B02D2C">
                    <w:rPr>
                      <w:rFonts w:eastAsia="Times New Roman"/>
                      <w:color w:val="000000"/>
                      <w:sz w:val="18"/>
                      <w:szCs w:val="18"/>
                      <w:lang w:val="es-PE"/>
                    </w:rPr>
                    <w:t>2</w:t>
                  </w:r>
                </w:p>
              </w:tc>
              <w:tc>
                <w:tcPr>
                  <w:tcW w:w="576" w:type="dxa"/>
                  <w:tcBorders>
                    <w:top w:val="nil"/>
                    <w:left w:val="nil"/>
                    <w:bottom w:val="single" w:sz="8" w:space="0" w:color="auto"/>
                    <w:right w:val="nil"/>
                  </w:tcBorders>
                  <w:shd w:val="clear" w:color="000000" w:fill="FFFFFF"/>
                  <w:noWrap/>
                  <w:vAlign w:val="center"/>
                  <w:hideMark/>
                </w:tcPr>
                <w:p w14:paraId="4BFCF64C" w14:textId="69FEAA25"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-0,</w:t>
                  </w:r>
                  <w:r w:rsidR="007A59FB" w:rsidRPr="00B02D2C">
                    <w:rPr>
                      <w:rFonts w:eastAsia="Times New Roman"/>
                      <w:color w:val="000000"/>
                      <w:sz w:val="18"/>
                      <w:szCs w:val="18"/>
                      <w:lang w:val="es-PE"/>
                    </w:rPr>
                    <w:t>5</w:t>
                  </w:r>
                </w:p>
              </w:tc>
              <w:tc>
                <w:tcPr>
                  <w:tcW w:w="576" w:type="dxa"/>
                  <w:tcBorders>
                    <w:top w:val="nil"/>
                    <w:left w:val="nil"/>
                    <w:bottom w:val="single" w:sz="8" w:space="0" w:color="auto"/>
                    <w:right w:val="nil"/>
                  </w:tcBorders>
                  <w:shd w:val="clear" w:color="000000" w:fill="FFFFFF"/>
                  <w:noWrap/>
                  <w:vAlign w:val="center"/>
                  <w:hideMark/>
                </w:tcPr>
                <w:p w14:paraId="428195D4" w14:textId="0D60446D"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-0,</w:t>
                  </w:r>
                  <w:r w:rsidR="007A59FB" w:rsidRPr="00B02D2C">
                    <w:rPr>
                      <w:rFonts w:eastAsia="Times New Roman"/>
                      <w:color w:val="000000"/>
                      <w:sz w:val="18"/>
                      <w:szCs w:val="18"/>
                      <w:lang w:val="es-PE"/>
                    </w:rPr>
                    <w:t>6</w:t>
                  </w:r>
                </w:p>
              </w:tc>
              <w:tc>
                <w:tcPr>
                  <w:tcW w:w="576" w:type="dxa"/>
                  <w:tcBorders>
                    <w:top w:val="nil"/>
                    <w:left w:val="nil"/>
                    <w:bottom w:val="single" w:sz="8" w:space="0" w:color="auto"/>
                    <w:right w:val="nil"/>
                  </w:tcBorders>
                  <w:shd w:val="clear" w:color="000000" w:fill="FFFFFF"/>
                  <w:noWrap/>
                  <w:vAlign w:val="center"/>
                  <w:hideMark/>
                </w:tcPr>
                <w:p w14:paraId="005DC627" w14:textId="163721D0" w:rsidR="007A59FB" w:rsidRPr="00B02D2C" w:rsidRDefault="00357368" w:rsidP="007A59FB">
                  <w:pPr>
                    <w:jc w:val="center"/>
                    <w:rPr>
                      <w:rFonts w:eastAsia="Times New Roman"/>
                      <w:color w:val="000000"/>
                      <w:sz w:val="18"/>
                      <w:szCs w:val="18"/>
                      <w:lang w:val="en-US"/>
                    </w:rPr>
                  </w:pPr>
                  <w:r w:rsidRPr="00B02D2C">
                    <w:rPr>
                      <w:rFonts w:eastAsia="Times New Roman"/>
                      <w:color w:val="000000"/>
                      <w:sz w:val="18"/>
                      <w:szCs w:val="18"/>
                      <w:lang w:val="es-PE"/>
                    </w:rPr>
                    <w:t>-1,</w:t>
                  </w:r>
                  <w:r w:rsidR="007A59FB" w:rsidRPr="00B02D2C">
                    <w:rPr>
                      <w:rFonts w:eastAsia="Times New Roman"/>
                      <w:color w:val="000000"/>
                      <w:sz w:val="18"/>
                      <w:szCs w:val="18"/>
                      <w:lang w:val="es-PE"/>
                    </w:rPr>
                    <w:t>6</w:t>
                  </w:r>
                </w:p>
              </w:tc>
            </w:tr>
            <w:tr w:rsidR="007A59FB" w:rsidRPr="00B02D2C" w14:paraId="1070724D" w14:textId="77777777" w:rsidTr="002C7444">
              <w:trPr>
                <w:trHeight w:val="278"/>
              </w:trPr>
              <w:tc>
                <w:tcPr>
                  <w:tcW w:w="10217" w:type="dxa"/>
                  <w:gridSpan w:val="9"/>
                  <w:tcBorders>
                    <w:top w:val="single" w:sz="8" w:space="0" w:color="auto"/>
                    <w:left w:val="nil"/>
                    <w:bottom w:val="nil"/>
                    <w:right w:val="nil"/>
                  </w:tcBorders>
                  <w:shd w:val="clear" w:color="000000" w:fill="FFFFFF"/>
                  <w:noWrap/>
                  <w:vAlign w:val="center"/>
                  <w:hideMark/>
                </w:tcPr>
                <w:p w14:paraId="70949DA3" w14:textId="77777777" w:rsidR="007A59FB" w:rsidRPr="00B02D2C" w:rsidRDefault="007A59FB" w:rsidP="007A59FB">
                  <w:pPr>
                    <w:jc w:val="both"/>
                    <w:rPr>
                      <w:rFonts w:eastAsia="Times New Roman"/>
                      <w:color w:val="000000"/>
                      <w:szCs w:val="18"/>
                      <w:lang w:val="es-CL"/>
                    </w:rPr>
                  </w:pPr>
                  <w:r w:rsidRPr="00B02D2C">
                    <w:rPr>
                      <w:rFonts w:eastAsia="Times New Roman"/>
                      <w:b/>
                      <w:color w:val="000000"/>
                      <w:szCs w:val="18"/>
                      <w:lang w:val="es-PE"/>
                    </w:rPr>
                    <w:t>Fuentes</w:t>
                  </w:r>
                  <w:r w:rsidRPr="00B02D2C">
                    <w:rPr>
                      <w:rFonts w:eastAsia="Times New Roman"/>
                      <w:color w:val="000000"/>
                      <w:szCs w:val="18"/>
                      <w:lang w:val="es-PE"/>
                    </w:rPr>
                    <w:t>: Ffrench-Davis (2014), actualizado con datos del Banco Central y DIPRES (2016).</w:t>
                  </w:r>
                </w:p>
              </w:tc>
            </w:tr>
            <w:tr w:rsidR="007A59FB" w:rsidRPr="00B02D2C" w14:paraId="0542C5E7" w14:textId="77777777" w:rsidTr="002C7444">
              <w:trPr>
                <w:trHeight w:val="671"/>
              </w:trPr>
              <w:tc>
                <w:tcPr>
                  <w:tcW w:w="10217" w:type="dxa"/>
                  <w:gridSpan w:val="9"/>
                  <w:tcBorders>
                    <w:top w:val="nil"/>
                    <w:left w:val="nil"/>
                    <w:bottom w:val="nil"/>
                    <w:right w:val="nil"/>
                  </w:tcBorders>
                  <w:shd w:val="clear" w:color="auto" w:fill="auto"/>
                  <w:vAlign w:val="center"/>
                  <w:hideMark/>
                </w:tcPr>
                <w:p w14:paraId="44DD9FA8" w14:textId="061B700F" w:rsidR="007A59FB" w:rsidRPr="00B02D2C" w:rsidRDefault="007A59FB" w:rsidP="00C53DB3">
                  <w:pPr>
                    <w:jc w:val="both"/>
                    <w:rPr>
                      <w:rFonts w:eastAsia="Times New Roman"/>
                      <w:b/>
                      <w:bCs/>
                      <w:color w:val="000000"/>
                      <w:szCs w:val="18"/>
                      <w:lang w:val="es-CL"/>
                    </w:rPr>
                  </w:pPr>
                  <w:r w:rsidRPr="00B02D2C">
                    <w:rPr>
                      <w:rFonts w:eastAsia="Times New Roman"/>
                      <w:b/>
                      <w:bCs/>
                      <w:color w:val="000000"/>
                      <w:szCs w:val="18"/>
                      <w:lang w:val="es-PE"/>
                    </w:rPr>
                    <w:t>Notas:</w:t>
                  </w:r>
                  <w:r w:rsidRPr="00B02D2C">
                    <w:rPr>
                      <w:rFonts w:eastAsia="Times New Roman"/>
                      <w:color w:val="000000"/>
                      <w:szCs w:val="18"/>
                      <w:lang w:val="es-PE"/>
                    </w:rPr>
                    <w:t xml:space="preserve"> Los valores corresponden a un promedio anual simple para cada período. Las cifras de crecimiento real del PBI proceden de las Cuentas Nacionales a precios de  2003; a partir de 2006, se emplean las tasas de variación real de la nueva base encadenada</w:t>
                  </w:r>
                  <w:r w:rsidR="00C53DB3" w:rsidRPr="00B02D2C">
                    <w:rPr>
                      <w:rFonts w:eastAsia="Times New Roman"/>
                      <w:color w:val="000000"/>
                      <w:szCs w:val="18"/>
                      <w:lang w:val="es-PE"/>
                    </w:rPr>
                    <w:t>,</w:t>
                  </w:r>
                  <w:r w:rsidRPr="00B02D2C">
                    <w:rPr>
                      <w:rFonts w:eastAsia="Times New Roman"/>
                      <w:color w:val="000000"/>
                      <w:szCs w:val="18"/>
                      <w:lang w:val="es-PE"/>
                    </w:rPr>
                    <w:t xml:space="preserve"> referencia 2008. </w:t>
                  </w:r>
                </w:p>
              </w:tc>
            </w:tr>
            <w:tr w:rsidR="007A59FB" w:rsidRPr="00B02D2C" w14:paraId="6A1BC3C2" w14:textId="77777777" w:rsidTr="002C7444">
              <w:trPr>
                <w:trHeight w:val="447"/>
              </w:trPr>
              <w:tc>
                <w:tcPr>
                  <w:tcW w:w="10217" w:type="dxa"/>
                  <w:gridSpan w:val="9"/>
                  <w:tcBorders>
                    <w:top w:val="nil"/>
                    <w:left w:val="nil"/>
                    <w:bottom w:val="nil"/>
                    <w:right w:val="nil"/>
                  </w:tcBorders>
                  <w:shd w:val="clear" w:color="auto" w:fill="auto"/>
                  <w:vAlign w:val="center"/>
                  <w:hideMark/>
                </w:tcPr>
                <w:p w14:paraId="6DAEE889" w14:textId="5630E2DF" w:rsidR="007A59FB" w:rsidRPr="00B02D2C" w:rsidRDefault="007A59FB" w:rsidP="00C53DB3">
                  <w:pPr>
                    <w:jc w:val="both"/>
                    <w:rPr>
                      <w:rFonts w:eastAsia="Times New Roman"/>
                      <w:color w:val="000000"/>
                      <w:szCs w:val="18"/>
                      <w:lang w:val="es-CL"/>
                    </w:rPr>
                  </w:pPr>
                  <w:r w:rsidRPr="00B02D2C">
                    <w:rPr>
                      <w:rFonts w:eastAsia="Times New Roman"/>
                      <w:color w:val="000000"/>
                      <w:szCs w:val="18"/>
                      <w:lang w:val="es-PE"/>
                    </w:rPr>
                    <w:t xml:space="preserve">* El PBI tendencial es calculado por el Ministerio de Hacienda a partir de cifras proporcionadas por el Comité Asesor del PBI Tendencial. Las cifras de la fila 2 corresponden a los estimados de </w:t>
                  </w:r>
                  <w:r w:rsidR="00C53DB3" w:rsidRPr="00B02D2C">
                    <w:rPr>
                      <w:rFonts w:eastAsia="Times New Roman"/>
                      <w:color w:val="000000"/>
                      <w:szCs w:val="18"/>
                      <w:lang w:val="es-PE"/>
                    </w:rPr>
                    <w:t>cada</w:t>
                  </w:r>
                  <w:r w:rsidRPr="00B02D2C">
                    <w:rPr>
                      <w:rFonts w:eastAsia="Times New Roman"/>
                      <w:color w:val="000000"/>
                      <w:szCs w:val="18"/>
                      <w:lang w:val="es-PE"/>
                    </w:rPr>
                    <w:t xml:space="preserve"> consulta anual para el presupuesto del año siguiente. </w:t>
                  </w:r>
                </w:p>
              </w:tc>
            </w:tr>
            <w:tr w:rsidR="007A59FB" w:rsidRPr="00B02D2C" w14:paraId="7F274032" w14:textId="77777777" w:rsidTr="002C7444">
              <w:trPr>
                <w:trHeight w:val="278"/>
              </w:trPr>
              <w:tc>
                <w:tcPr>
                  <w:tcW w:w="10217" w:type="dxa"/>
                  <w:gridSpan w:val="9"/>
                  <w:tcBorders>
                    <w:top w:val="nil"/>
                    <w:left w:val="nil"/>
                    <w:bottom w:val="nil"/>
                    <w:right w:val="nil"/>
                  </w:tcBorders>
                  <w:shd w:val="clear" w:color="auto" w:fill="auto"/>
                  <w:vAlign w:val="center"/>
                  <w:hideMark/>
                </w:tcPr>
                <w:p w14:paraId="4631CA35" w14:textId="77777777" w:rsidR="007A59FB" w:rsidRPr="00B02D2C" w:rsidRDefault="007A59FB" w:rsidP="007A59FB">
                  <w:pPr>
                    <w:jc w:val="both"/>
                    <w:rPr>
                      <w:rFonts w:eastAsia="Times New Roman"/>
                      <w:color w:val="000000"/>
                      <w:szCs w:val="18"/>
                      <w:lang w:val="es-CL"/>
                    </w:rPr>
                  </w:pPr>
                  <w:r w:rsidRPr="00B02D2C">
                    <w:rPr>
                      <w:rFonts w:eastAsia="Times New Roman"/>
                      <w:color w:val="000000"/>
                      <w:szCs w:val="18"/>
                      <w:lang w:val="es-PE"/>
                    </w:rPr>
                    <w:t>° Déficit fiscal estructural de acuerdo a la metodología empleada hasta el 2009.</w:t>
                  </w:r>
                </w:p>
              </w:tc>
            </w:tr>
          </w:tbl>
          <w:p w14:paraId="1FD6C26A" w14:textId="77777777" w:rsidR="007A59FB" w:rsidRPr="00CB6F86" w:rsidRDefault="007A59FB" w:rsidP="007A59FB">
            <w:pPr>
              <w:rPr>
                <w:lang w:val="es-CL"/>
              </w:rPr>
            </w:pPr>
          </w:p>
          <w:p w14:paraId="0CED26EA" w14:textId="77777777" w:rsidR="007A59FB" w:rsidRDefault="007A59FB" w:rsidP="007A59FB">
            <w:pPr>
              <w:rPr>
                <w:lang w:val="es-PE"/>
              </w:rPr>
            </w:pPr>
          </w:p>
          <w:p w14:paraId="00FAA0A6" w14:textId="77777777" w:rsidR="007A59FB" w:rsidRDefault="007A59FB" w:rsidP="007A59FB">
            <w:pPr>
              <w:rPr>
                <w:lang w:val="es-PE"/>
              </w:rPr>
            </w:pPr>
          </w:p>
          <w:p w14:paraId="29F1B847" w14:textId="77777777" w:rsidR="007A59FB" w:rsidRDefault="007A59FB" w:rsidP="007A59FB">
            <w:pPr>
              <w:rPr>
                <w:lang w:val="es-PE"/>
              </w:rPr>
            </w:pPr>
          </w:p>
          <w:p w14:paraId="51CE06DC" w14:textId="77777777" w:rsidR="007A59FB" w:rsidRDefault="007A59FB" w:rsidP="007A59FB">
            <w:pPr>
              <w:rPr>
                <w:lang w:val="es-PE"/>
              </w:rPr>
            </w:pPr>
          </w:p>
          <w:p w14:paraId="67E9F545" w14:textId="77777777" w:rsidR="007A59FB" w:rsidRDefault="007A59FB" w:rsidP="007A59FB">
            <w:pPr>
              <w:rPr>
                <w:lang w:val="es-PE"/>
              </w:rPr>
            </w:pPr>
          </w:p>
          <w:p w14:paraId="15733F9F" w14:textId="77777777" w:rsidR="007A59FB" w:rsidRDefault="007A59FB" w:rsidP="007A59FB">
            <w:pPr>
              <w:rPr>
                <w:lang w:val="es-PE"/>
              </w:rPr>
            </w:pPr>
          </w:p>
          <w:p w14:paraId="028E9F2E" w14:textId="77777777" w:rsidR="007A59FB" w:rsidRDefault="007A59FB" w:rsidP="007A59FB">
            <w:pPr>
              <w:rPr>
                <w:lang w:val="es-PE"/>
              </w:rPr>
            </w:pPr>
          </w:p>
          <w:tbl>
            <w:tblPr>
              <w:tblW w:w="9045" w:type="dxa"/>
              <w:jc w:val="center"/>
              <w:tblLook w:val="04A0" w:firstRow="1" w:lastRow="0" w:firstColumn="1" w:lastColumn="0" w:noHBand="0" w:noVBand="1"/>
            </w:tblPr>
            <w:tblGrid>
              <w:gridCol w:w="820"/>
              <w:gridCol w:w="1106"/>
              <w:gridCol w:w="914"/>
              <w:gridCol w:w="1611"/>
              <w:gridCol w:w="1571"/>
              <w:gridCol w:w="1311"/>
              <w:gridCol w:w="1712"/>
            </w:tblGrid>
            <w:tr w:rsidR="007A59FB" w:rsidRPr="00CB6F86" w14:paraId="518CB605" w14:textId="77777777" w:rsidTr="002C7444">
              <w:trPr>
                <w:trHeight w:val="292"/>
                <w:jc w:val="center"/>
              </w:trPr>
              <w:tc>
                <w:tcPr>
                  <w:tcW w:w="9045" w:type="dxa"/>
                  <w:gridSpan w:val="7"/>
                  <w:tcBorders>
                    <w:top w:val="nil"/>
                    <w:left w:val="nil"/>
                    <w:bottom w:val="nil"/>
                    <w:right w:val="nil"/>
                  </w:tcBorders>
                  <w:shd w:val="clear" w:color="auto" w:fill="auto"/>
                  <w:noWrap/>
                  <w:vAlign w:val="center"/>
                  <w:hideMark/>
                </w:tcPr>
                <w:p w14:paraId="015C6B4A" w14:textId="2570A5EF" w:rsidR="007A59FB" w:rsidRPr="00CB6F86" w:rsidRDefault="00ED7230" w:rsidP="00ED7230">
                  <w:pPr>
                    <w:jc w:val="center"/>
                    <w:rPr>
                      <w:rFonts w:eastAsia="Times New Roman"/>
                      <w:b/>
                      <w:bCs/>
                      <w:color w:val="000000"/>
                      <w:sz w:val="24"/>
                      <w:szCs w:val="24"/>
                      <w:lang w:val="es-CL"/>
                    </w:rPr>
                  </w:pPr>
                  <w:r>
                    <w:rPr>
                      <w:rFonts w:eastAsia="Times New Roman"/>
                      <w:b/>
                      <w:bCs/>
                      <w:color w:val="000000"/>
                      <w:sz w:val="24"/>
                      <w:szCs w:val="24"/>
                      <w:lang w:val="es-PE"/>
                    </w:rPr>
                    <w:t>Cuadro</w:t>
                  </w:r>
                  <w:r w:rsidR="007A59FB" w:rsidRPr="00CB6F86">
                    <w:rPr>
                      <w:rFonts w:eastAsia="Times New Roman"/>
                      <w:b/>
                      <w:bCs/>
                      <w:color w:val="000000"/>
                      <w:sz w:val="24"/>
                      <w:szCs w:val="24"/>
                      <w:lang w:val="es-PE"/>
                    </w:rPr>
                    <w:t xml:space="preserve"> 4. Activos y pasivos fiscales, 2007-2015</w:t>
                  </w:r>
                </w:p>
              </w:tc>
            </w:tr>
            <w:tr w:rsidR="007A59FB" w:rsidRPr="00CB6F86" w14:paraId="2A6E6519" w14:textId="77777777" w:rsidTr="002C7444">
              <w:trPr>
                <w:trHeight w:val="292"/>
                <w:jc w:val="center"/>
              </w:trPr>
              <w:tc>
                <w:tcPr>
                  <w:tcW w:w="9045" w:type="dxa"/>
                  <w:gridSpan w:val="7"/>
                  <w:tcBorders>
                    <w:top w:val="nil"/>
                    <w:left w:val="nil"/>
                    <w:bottom w:val="single" w:sz="8" w:space="0" w:color="auto"/>
                    <w:right w:val="nil"/>
                  </w:tcBorders>
                  <w:shd w:val="clear" w:color="auto" w:fill="auto"/>
                  <w:noWrap/>
                  <w:vAlign w:val="center"/>
                  <w:hideMark/>
                </w:tcPr>
                <w:p w14:paraId="1E2FCA3E"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(US$ millones corrientes)</w:t>
                  </w:r>
                </w:p>
              </w:tc>
            </w:tr>
            <w:tr w:rsidR="007A59FB" w:rsidRPr="00CB6F86" w14:paraId="73AF0275" w14:textId="77777777" w:rsidTr="002C7444">
              <w:trPr>
                <w:trHeight w:val="278"/>
                <w:jc w:val="center"/>
              </w:trPr>
              <w:tc>
                <w:tcPr>
                  <w:tcW w:w="820" w:type="dxa"/>
                  <w:tcBorders>
                    <w:top w:val="nil"/>
                    <w:left w:val="nil"/>
                    <w:bottom w:val="nil"/>
                    <w:right w:val="nil"/>
                  </w:tcBorders>
                  <w:shd w:val="clear" w:color="000000" w:fill="A5A5A5"/>
                  <w:noWrap/>
                  <w:vAlign w:val="center"/>
                  <w:hideMark/>
                </w:tcPr>
                <w:p w14:paraId="682928E0" w14:textId="77777777" w:rsidR="007A59FB" w:rsidRPr="00CB6F86" w:rsidRDefault="007A59FB" w:rsidP="007A59FB">
                  <w:pPr>
                    <w:rPr>
                      <w:rFonts w:eastAsia="Times New Roman"/>
                      <w:color w:val="000000"/>
                      <w:lang w:val="en-US"/>
                    </w:rPr>
                  </w:pPr>
                  <w:r w:rsidRPr="00CB6F86">
                    <w:rPr>
                      <w:rFonts w:eastAsia="Times New Roman"/>
                      <w:color w:val="000000"/>
                      <w:lang w:val="es-PE"/>
                    </w:rPr>
                    <w:t> </w:t>
                  </w:r>
                </w:p>
              </w:tc>
              <w:tc>
                <w:tcPr>
                  <w:tcW w:w="1106" w:type="dxa"/>
                  <w:tcBorders>
                    <w:top w:val="nil"/>
                    <w:left w:val="nil"/>
                    <w:bottom w:val="nil"/>
                    <w:right w:val="nil"/>
                  </w:tcBorders>
                  <w:shd w:val="clear" w:color="000000" w:fill="A5A5A5"/>
                  <w:noWrap/>
                  <w:vAlign w:val="center"/>
                  <w:hideMark/>
                </w:tcPr>
                <w:p w14:paraId="0E120D71"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FEES</w:t>
                  </w:r>
                </w:p>
              </w:tc>
              <w:tc>
                <w:tcPr>
                  <w:tcW w:w="914" w:type="dxa"/>
                  <w:tcBorders>
                    <w:top w:val="single" w:sz="8" w:space="0" w:color="auto"/>
                    <w:left w:val="nil"/>
                    <w:bottom w:val="nil"/>
                    <w:right w:val="nil"/>
                  </w:tcBorders>
                  <w:shd w:val="clear" w:color="000000" w:fill="A5A5A5"/>
                  <w:noWrap/>
                  <w:vAlign w:val="center"/>
                  <w:hideMark/>
                </w:tcPr>
                <w:p w14:paraId="659A6963"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FRP</w:t>
                  </w:r>
                </w:p>
              </w:tc>
              <w:tc>
                <w:tcPr>
                  <w:tcW w:w="1611" w:type="dxa"/>
                  <w:tcBorders>
                    <w:top w:val="single" w:sz="8" w:space="0" w:color="auto"/>
                    <w:left w:val="nil"/>
                    <w:bottom w:val="nil"/>
                    <w:right w:val="nil"/>
                  </w:tcBorders>
                  <w:shd w:val="clear" w:color="000000" w:fill="A5A5A5"/>
                  <w:vAlign w:val="center"/>
                  <w:hideMark/>
                </w:tcPr>
                <w:p w14:paraId="6FC9E3C9"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Otros activos</w:t>
                  </w:r>
                </w:p>
              </w:tc>
              <w:tc>
                <w:tcPr>
                  <w:tcW w:w="1571" w:type="dxa"/>
                  <w:tcBorders>
                    <w:top w:val="single" w:sz="8" w:space="0" w:color="auto"/>
                    <w:left w:val="nil"/>
                    <w:bottom w:val="nil"/>
                    <w:right w:val="nil"/>
                  </w:tcBorders>
                  <w:shd w:val="clear" w:color="000000" w:fill="A5A5A5"/>
                  <w:vAlign w:val="center"/>
                  <w:hideMark/>
                </w:tcPr>
                <w:p w14:paraId="2F349AA5"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Pasivos</w:t>
                  </w:r>
                </w:p>
              </w:tc>
              <w:tc>
                <w:tcPr>
                  <w:tcW w:w="1311" w:type="dxa"/>
                  <w:tcBorders>
                    <w:top w:val="single" w:sz="8" w:space="0" w:color="auto"/>
                    <w:left w:val="nil"/>
                    <w:bottom w:val="nil"/>
                    <w:right w:val="nil"/>
                  </w:tcBorders>
                  <w:shd w:val="clear" w:color="000000" w:fill="A5A5A5"/>
                  <w:vAlign w:val="center"/>
                  <w:hideMark/>
                </w:tcPr>
                <w:p w14:paraId="101D72E7"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Balance neto</w:t>
                  </w:r>
                </w:p>
              </w:tc>
              <w:tc>
                <w:tcPr>
                  <w:tcW w:w="1712" w:type="dxa"/>
                  <w:tcBorders>
                    <w:top w:val="single" w:sz="8" w:space="0" w:color="auto"/>
                    <w:left w:val="nil"/>
                    <w:bottom w:val="nil"/>
                    <w:right w:val="nil"/>
                  </w:tcBorders>
                  <w:shd w:val="clear" w:color="000000" w:fill="A5A5A5"/>
                  <w:vAlign w:val="center"/>
                  <w:hideMark/>
                </w:tcPr>
                <w:p w14:paraId="54CDBBEB"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 del PBI</w:t>
                  </w:r>
                </w:p>
              </w:tc>
            </w:tr>
            <w:tr w:rsidR="007A59FB" w:rsidRPr="00CB6F86" w14:paraId="38BEE6D7" w14:textId="77777777" w:rsidTr="002C7444">
              <w:trPr>
                <w:trHeight w:val="292"/>
                <w:jc w:val="center"/>
              </w:trPr>
              <w:tc>
                <w:tcPr>
                  <w:tcW w:w="820" w:type="dxa"/>
                  <w:tcBorders>
                    <w:top w:val="nil"/>
                    <w:left w:val="nil"/>
                    <w:bottom w:val="single" w:sz="8" w:space="0" w:color="auto"/>
                    <w:right w:val="nil"/>
                  </w:tcBorders>
                  <w:shd w:val="clear" w:color="000000" w:fill="A5A5A5"/>
                  <w:noWrap/>
                  <w:vAlign w:val="center"/>
                  <w:hideMark/>
                </w:tcPr>
                <w:p w14:paraId="1BFE2569" w14:textId="77777777" w:rsidR="007A59FB" w:rsidRPr="00CB6F86" w:rsidRDefault="007A59FB" w:rsidP="007A59FB">
                  <w:pPr>
                    <w:rPr>
                      <w:rFonts w:eastAsia="Times New Roman"/>
                      <w:color w:val="000000"/>
                      <w:lang w:val="en-US"/>
                    </w:rPr>
                  </w:pPr>
                  <w:r w:rsidRPr="00CB6F86">
                    <w:rPr>
                      <w:rFonts w:eastAsia="Times New Roman"/>
                      <w:color w:val="000000"/>
                      <w:lang w:val="es-PE"/>
                    </w:rPr>
                    <w:t> </w:t>
                  </w:r>
                </w:p>
              </w:tc>
              <w:tc>
                <w:tcPr>
                  <w:tcW w:w="1106" w:type="dxa"/>
                  <w:tcBorders>
                    <w:top w:val="nil"/>
                    <w:left w:val="nil"/>
                    <w:bottom w:val="single" w:sz="8" w:space="0" w:color="auto"/>
                    <w:right w:val="nil"/>
                  </w:tcBorders>
                  <w:shd w:val="clear" w:color="000000" w:fill="A5A5A5"/>
                  <w:noWrap/>
                  <w:vAlign w:val="center"/>
                  <w:hideMark/>
                </w:tcPr>
                <w:p w14:paraId="7FEDFDFD"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w:t>
                  </w:r>
                </w:p>
              </w:tc>
              <w:tc>
                <w:tcPr>
                  <w:tcW w:w="914" w:type="dxa"/>
                  <w:tcBorders>
                    <w:top w:val="nil"/>
                    <w:left w:val="nil"/>
                    <w:bottom w:val="single" w:sz="8" w:space="0" w:color="auto"/>
                    <w:right w:val="nil"/>
                  </w:tcBorders>
                  <w:shd w:val="clear" w:color="000000" w:fill="A5A5A5"/>
                  <w:noWrap/>
                  <w:vAlign w:val="center"/>
                  <w:hideMark/>
                </w:tcPr>
                <w:p w14:paraId="6835D2BC"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w:t>
                  </w:r>
                </w:p>
              </w:tc>
              <w:tc>
                <w:tcPr>
                  <w:tcW w:w="1611" w:type="dxa"/>
                  <w:tcBorders>
                    <w:top w:val="nil"/>
                    <w:left w:val="nil"/>
                    <w:bottom w:val="single" w:sz="8" w:space="0" w:color="auto"/>
                    <w:right w:val="nil"/>
                  </w:tcBorders>
                  <w:shd w:val="clear" w:color="000000" w:fill="A5A5A5"/>
                  <w:vAlign w:val="center"/>
                  <w:hideMark/>
                </w:tcPr>
                <w:p w14:paraId="73E27200"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(3)</w:t>
                  </w:r>
                </w:p>
              </w:tc>
              <w:tc>
                <w:tcPr>
                  <w:tcW w:w="1571" w:type="dxa"/>
                  <w:tcBorders>
                    <w:top w:val="nil"/>
                    <w:left w:val="nil"/>
                    <w:bottom w:val="single" w:sz="8" w:space="0" w:color="auto"/>
                    <w:right w:val="nil"/>
                  </w:tcBorders>
                  <w:shd w:val="clear" w:color="000000" w:fill="A5A5A5"/>
                  <w:vAlign w:val="center"/>
                  <w:hideMark/>
                </w:tcPr>
                <w:p w14:paraId="513C65EE"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(4)</w:t>
                  </w:r>
                </w:p>
              </w:tc>
              <w:tc>
                <w:tcPr>
                  <w:tcW w:w="1311" w:type="dxa"/>
                  <w:tcBorders>
                    <w:top w:val="nil"/>
                    <w:left w:val="nil"/>
                    <w:bottom w:val="single" w:sz="8" w:space="0" w:color="auto"/>
                    <w:right w:val="nil"/>
                  </w:tcBorders>
                  <w:shd w:val="clear" w:color="000000" w:fill="A5A5A5"/>
                  <w:vAlign w:val="center"/>
                  <w:hideMark/>
                </w:tcPr>
                <w:p w14:paraId="151F4616"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(5)</w:t>
                  </w:r>
                </w:p>
              </w:tc>
              <w:tc>
                <w:tcPr>
                  <w:tcW w:w="1712" w:type="dxa"/>
                  <w:tcBorders>
                    <w:top w:val="nil"/>
                    <w:left w:val="nil"/>
                    <w:bottom w:val="single" w:sz="8" w:space="0" w:color="auto"/>
                    <w:right w:val="nil"/>
                  </w:tcBorders>
                  <w:shd w:val="clear" w:color="000000" w:fill="A5A5A5"/>
                  <w:vAlign w:val="center"/>
                  <w:hideMark/>
                </w:tcPr>
                <w:p w14:paraId="6BD07FAC"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(6)</w:t>
                  </w:r>
                </w:p>
              </w:tc>
            </w:tr>
            <w:tr w:rsidR="007A59FB" w:rsidRPr="00CB6F86" w14:paraId="6EBDCCB7" w14:textId="77777777" w:rsidTr="002C7444">
              <w:trPr>
                <w:trHeight w:val="278"/>
                <w:jc w:val="center"/>
              </w:trPr>
              <w:tc>
                <w:tcPr>
                  <w:tcW w:w="820" w:type="dxa"/>
                  <w:tcBorders>
                    <w:top w:val="nil"/>
                    <w:left w:val="nil"/>
                    <w:bottom w:val="nil"/>
                    <w:right w:val="nil"/>
                  </w:tcBorders>
                  <w:shd w:val="clear" w:color="auto" w:fill="auto"/>
                  <w:noWrap/>
                  <w:vAlign w:val="center"/>
                  <w:hideMark/>
                </w:tcPr>
                <w:p w14:paraId="0EAA9B9A"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2007</w:t>
                  </w:r>
                </w:p>
              </w:tc>
              <w:tc>
                <w:tcPr>
                  <w:tcW w:w="1106" w:type="dxa"/>
                  <w:tcBorders>
                    <w:top w:val="nil"/>
                    <w:left w:val="nil"/>
                    <w:bottom w:val="nil"/>
                    <w:right w:val="nil"/>
                  </w:tcBorders>
                  <w:shd w:val="clear" w:color="auto" w:fill="auto"/>
                  <w:noWrap/>
                  <w:vAlign w:val="center"/>
                  <w:hideMark/>
                </w:tcPr>
                <w:p w14:paraId="42202016" w14:textId="431FA1E3" w:rsidR="007A59FB" w:rsidRPr="00CB6F86" w:rsidRDefault="00357368" w:rsidP="007A59FB">
                  <w:pPr>
                    <w:jc w:val="center"/>
                    <w:rPr>
                      <w:rFonts w:eastAsia="Times New Roman"/>
                      <w:color w:val="000000"/>
                      <w:lang w:val="en-US"/>
                    </w:rPr>
                  </w:pPr>
                  <w:r>
                    <w:rPr>
                      <w:rFonts w:eastAsia="Times New Roman"/>
                      <w:color w:val="000000"/>
                      <w:lang w:val="es-PE"/>
                    </w:rPr>
                    <w:t>14.</w:t>
                  </w:r>
                  <w:r w:rsidR="007A59FB" w:rsidRPr="00CB6F86">
                    <w:rPr>
                      <w:rFonts w:eastAsia="Times New Roman"/>
                      <w:color w:val="000000"/>
                      <w:lang w:val="es-PE"/>
                    </w:rPr>
                    <w:t>033</w:t>
                  </w:r>
                </w:p>
              </w:tc>
              <w:tc>
                <w:tcPr>
                  <w:tcW w:w="914" w:type="dxa"/>
                  <w:tcBorders>
                    <w:top w:val="single" w:sz="8" w:space="0" w:color="auto"/>
                    <w:left w:val="nil"/>
                    <w:bottom w:val="nil"/>
                    <w:right w:val="nil"/>
                  </w:tcBorders>
                  <w:shd w:val="clear" w:color="auto" w:fill="auto"/>
                  <w:noWrap/>
                  <w:vAlign w:val="center"/>
                  <w:hideMark/>
                </w:tcPr>
                <w:p w14:paraId="657BCE39" w14:textId="7C8333E2" w:rsidR="007A59FB" w:rsidRPr="00CB6F86" w:rsidRDefault="00357368" w:rsidP="007A59FB">
                  <w:pPr>
                    <w:jc w:val="center"/>
                    <w:rPr>
                      <w:rFonts w:eastAsia="Times New Roman"/>
                      <w:color w:val="000000"/>
                      <w:lang w:val="en-US"/>
                    </w:rPr>
                  </w:pPr>
                  <w:r>
                    <w:rPr>
                      <w:rFonts w:eastAsia="Times New Roman"/>
                      <w:color w:val="000000"/>
                      <w:lang w:val="es-PE"/>
                    </w:rPr>
                    <w:t>1.</w:t>
                  </w:r>
                  <w:r w:rsidR="007A59FB" w:rsidRPr="00CB6F86">
                    <w:rPr>
                      <w:rFonts w:eastAsia="Times New Roman"/>
                      <w:color w:val="000000"/>
                      <w:lang w:val="es-PE"/>
                    </w:rPr>
                    <w:t>466</w:t>
                  </w:r>
                </w:p>
              </w:tc>
              <w:tc>
                <w:tcPr>
                  <w:tcW w:w="1611" w:type="dxa"/>
                  <w:tcBorders>
                    <w:top w:val="single" w:sz="8" w:space="0" w:color="auto"/>
                    <w:left w:val="nil"/>
                    <w:bottom w:val="nil"/>
                    <w:right w:val="nil"/>
                  </w:tcBorders>
                  <w:shd w:val="clear" w:color="auto" w:fill="auto"/>
                  <w:vAlign w:val="center"/>
                  <w:hideMark/>
                </w:tcPr>
                <w:p w14:paraId="59A33F91" w14:textId="6847B661" w:rsidR="007A59FB" w:rsidRPr="00CB6F86" w:rsidRDefault="00357368" w:rsidP="007A59FB">
                  <w:pPr>
                    <w:jc w:val="center"/>
                    <w:rPr>
                      <w:rFonts w:eastAsia="Times New Roman"/>
                      <w:color w:val="000000"/>
                      <w:lang w:val="en-US"/>
                    </w:rPr>
                  </w:pPr>
                  <w:r>
                    <w:rPr>
                      <w:rFonts w:eastAsia="Times New Roman"/>
                      <w:color w:val="000000"/>
                      <w:lang w:val="es-PE"/>
                    </w:rPr>
                    <w:t>5.</w:t>
                  </w:r>
                  <w:r w:rsidR="007A59FB" w:rsidRPr="00CB6F86">
                    <w:rPr>
                      <w:rFonts w:eastAsia="Times New Roman"/>
                      <w:color w:val="000000"/>
                      <w:lang w:val="es-PE"/>
                    </w:rPr>
                    <w:t>411</w:t>
                  </w:r>
                </w:p>
              </w:tc>
              <w:tc>
                <w:tcPr>
                  <w:tcW w:w="1571" w:type="dxa"/>
                  <w:tcBorders>
                    <w:top w:val="single" w:sz="8" w:space="0" w:color="auto"/>
                    <w:left w:val="nil"/>
                    <w:bottom w:val="nil"/>
                    <w:right w:val="nil"/>
                  </w:tcBorders>
                  <w:shd w:val="clear" w:color="auto" w:fill="auto"/>
                  <w:vAlign w:val="center"/>
                  <w:hideMark/>
                </w:tcPr>
                <w:p w14:paraId="66CA75DD" w14:textId="62DDCB1E" w:rsidR="007A59FB" w:rsidRPr="00CB6F86" w:rsidRDefault="00BC0EBE" w:rsidP="007A59FB">
                  <w:pPr>
                    <w:jc w:val="center"/>
                    <w:rPr>
                      <w:rFonts w:eastAsia="Times New Roman"/>
                      <w:color w:val="000000"/>
                      <w:lang w:val="en-US"/>
                    </w:rPr>
                  </w:pPr>
                  <w:r>
                    <w:rPr>
                      <w:rFonts w:eastAsia="Times New Roman"/>
                      <w:color w:val="000000"/>
                      <w:lang w:val="es-PE"/>
                    </w:rPr>
                    <w:t xml:space="preserve">  </w:t>
                  </w:r>
                  <w:r w:rsidR="00357368">
                    <w:rPr>
                      <w:rFonts w:eastAsia="Times New Roman"/>
                      <w:color w:val="000000"/>
                      <w:lang w:val="es-PE"/>
                    </w:rPr>
                    <w:t>7.</w:t>
                  </w:r>
                  <w:r w:rsidR="007A59FB" w:rsidRPr="00CB6F86">
                    <w:rPr>
                      <w:rFonts w:eastAsia="Times New Roman"/>
                      <w:color w:val="000000"/>
                      <w:lang w:val="es-PE"/>
                    </w:rPr>
                    <w:t>094</w:t>
                  </w:r>
                </w:p>
              </w:tc>
              <w:tc>
                <w:tcPr>
                  <w:tcW w:w="1311" w:type="dxa"/>
                  <w:tcBorders>
                    <w:top w:val="single" w:sz="8" w:space="0" w:color="auto"/>
                    <w:left w:val="nil"/>
                    <w:bottom w:val="nil"/>
                    <w:right w:val="nil"/>
                  </w:tcBorders>
                  <w:shd w:val="clear" w:color="auto" w:fill="auto"/>
                  <w:vAlign w:val="center"/>
                  <w:hideMark/>
                </w:tcPr>
                <w:p w14:paraId="00189779" w14:textId="3965D871" w:rsidR="007A59FB" w:rsidRPr="00CB6F86" w:rsidRDefault="00BC0EBE" w:rsidP="00973704">
                  <w:pPr>
                    <w:rPr>
                      <w:rFonts w:eastAsia="Times New Roman"/>
                      <w:color w:val="000000"/>
                      <w:lang w:val="en-US"/>
                    </w:rPr>
                  </w:pPr>
                  <w:r>
                    <w:rPr>
                      <w:rFonts w:eastAsia="Times New Roman"/>
                      <w:color w:val="000000"/>
                      <w:lang w:val="es-PE"/>
                    </w:rPr>
                    <w:t xml:space="preserve">     </w:t>
                  </w:r>
                  <w:r w:rsidR="00357368">
                    <w:rPr>
                      <w:rFonts w:eastAsia="Times New Roman"/>
                      <w:color w:val="000000"/>
                      <w:lang w:val="es-PE"/>
                    </w:rPr>
                    <w:t>13.</w:t>
                  </w:r>
                  <w:r w:rsidR="007A59FB" w:rsidRPr="00CB6F86">
                    <w:rPr>
                      <w:rFonts w:eastAsia="Times New Roman"/>
                      <w:color w:val="000000"/>
                      <w:lang w:val="es-PE"/>
                    </w:rPr>
                    <w:t>816</w:t>
                  </w:r>
                </w:p>
              </w:tc>
              <w:tc>
                <w:tcPr>
                  <w:tcW w:w="1712" w:type="dxa"/>
                  <w:tcBorders>
                    <w:top w:val="single" w:sz="8" w:space="0" w:color="auto"/>
                    <w:left w:val="nil"/>
                    <w:bottom w:val="nil"/>
                    <w:right w:val="nil"/>
                  </w:tcBorders>
                  <w:shd w:val="clear" w:color="auto" w:fill="auto"/>
                  <w:vAlign w:val="center"/>
                  <w:hideMark/>
                </w:tcPr>
                <w:p w14:paraId="4A77BDEB" w14:textId="5439263D" w:rsidR="007A59FB" w:rsidRPr="00CB6F86" w:rsidRDefault="00357368" w:rsidP="007A59FB">
                  <w:pPr>
                    <w:jc w:val="center"/>
                    <w:rPr>
                      <w:rFonts w:eastAsia="Times New Roman"/>
                      <w:color w:val="000000"/>
                      <w:lang w:val="en-US"/>
                    </w:rPr>
                  </w:pPr>
                  <w:r>
                    <w:rPr>
                      <w:rFonts w:eastAsia="Times New Roman"/>
                      <w:color w:val="000000"/>
                      <w:lang w:val="es-PE"/>
                    </w:rPr>
                    <w:t>8,</w:t>
                  </w:r>
                  <w:r w:rsidR="007A59FB" w:rsidRPr="00CB6F86">
                    <w:rPr>
                      <w:rFonts w:eastAsia="Times New Roman"/>
                      <w:color w:val="000000"/>
                      <w:lang w:val="es-PE"/>
                    </w:rPr>
                    <w:t>0%</w:t>
                  </w:r>
                </w:p>
              </w:tc>
            </w:tr>
            <w:tr w:rsidR="007A59FB" w:rsidRPr="00CB6F86" w14:paraId="2A4488C8" w14:textId="77777777" w:rsidTr="002C7444">
              <w:trPr>
                <w:trHeight w:val="278"/>
                <w:jc w:val="center"/>
              </w:trPr>
              <w:tc>
                <w:tcPr>
                  <w:tcW w:w="820" w:type="dxa"/>
                  <w:tcBorders>
                    <w:top w:val="nil"/>
                    <w:left w:val="nil"/>
                    <w:bottom w:val="nil"/>
                    <w:right w:val="nil"/>
                  </w:tcBorders>
                  <w:shd w:val="clear" w:color="auto" w:fill="auto"/>
                  <w:noWrap/>
                  <w:vAlign w:val="center"/>
                  <w:hideMark/>
                </w:tcPr>
                <w:p w14:paraId="026388FD"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2008</w:t>
                  </w:r>
                </w:p>
              </w:tc>
              <w:tc>
                <w:tcPr>
                  <w:tcW w:w="1106" w:type="dxa"/>
                  <w:tcBorders>
                    <w:top w:val="nil"/>
                    <w:left w:val="nil"/>
                    <w:bottom w:val="nil"/>
                    <w:right w:val="nil"/>
                  </w:tcBorders>
                  <w:shd w:val="clear" w:color="auto" w:fill="auto"/>
                  <w:noWrap/>
                  <w:vAlign w:val="center"/>
                  <w:hideMark/>
                </w:tcPr>
                <w:p w14:paraId="3F8AF2CE" w14:textId="1E01C2C9" w:rsidR="007A59FB" w:rsidRPr="00CB6F86" w:rsidRDefault="00357368" w:rsidP="007A59FB">
                  <w:pPr>
                    <w:jc w:val="center"/>
                    <w:rPr>
                      <w:rFonts w:eastAsia="Times New Roman"/>
                      <w:color w:val="000000"/>
                      <w:lang w:val="en-US"/>
                    </w:rPr>
                  </w:pPr>
                  <w:r>
                    <w:rPr>
                      <w:rFonts w:eastAsia="Times New Roman"/>
                      <w:color w:val="000000"/>
                      <w:lang w:val="es-PE"/>
                    </w:rPr>
                    <w:t>20.</w:t>
                  </w:r>
                  <w:r w:rsidR="007A59FB" w:rsidRPr="00CB6F86">
                    <w:rPr>
                      <w:rFonts w:eastAsia="Times New Roman"/>
                      <w:color w:val="000000"/>
                      <w:lang w:val="es-PE"/>
                    </w:rPr>
                    <w:t>211</w:t>
                  </w:r>
                </w:p>
              </w:tc>
              <w:tc>
                <w:tcPr>
                  <w:tcW w:w="914" w:type="dxa"/>
                  <w:tcBorders>
                    <w:top w:val="nil"/>
                    <w:left w:val="nil"/>
                    <w:bottom w:val="nil"/>
                    <w:right w:val="nil"/>
                  </w:tcBorders>
                  <w:shd w:val="clear" w:color="auto" w:fill="auto"/>
                  <w:noWrap/>
                  <w:vAlign w:val="center"/>
                  <w:hideMark/>
                </w:tcPr>
                <w:p w14:paraId="509198B6" w14:textId="19255C78" w:rsidR="007A59FB" w:rsidRPr="00CB6F86" w:rsidRDefault="00357368" w:rsidP="007A59FB">
                  <w:pPr>
                    <w:jc w:val="center"/>
                    <w:rPr>
                      <w:rFonts w:eastAsia="Times New Roman"/>
                      <w:color w:val="000000"/>
                      <w:lang w:val="en-US"/>
                    </w:rPr>
                  </w:pPr>
                  <w:r>
                    <w:rPr>
                      <w:rFonts w:eastAsia="Times New Roman"/>
                      <w:color w:val="000000"/>
                      <w:lang w:val="es-PE"/>
                    </w:rPr>
                    <w:t>2.</w:t>
                  </w:r>
                  <w:r w:rsidR="007A59FB" w:rsidRPr="00CB6F86">
                    <w:rPr>
                      <w:rFonts w:eastAsia="Times New Roman"/>
                      <w:color w:val="000000"/>
                      <w:lang w:val="es-PE"/>
                    </w:rPr>
                    <w:t>507</w:t>
                  </w:r>
                </w:p>
              </w:tc>
              <w:tc>
                <w:tcPr>
                  <w:tcW w:w="1611" w:type="dxa"/>
                  <w:tcBorders>
                    <w:top w:val="nil"/>
                    <w:left w:val="nil"/>
                    <w:bottom w:val="nil"/>
                    <w:right w:val="nil"/>
                  </w:tcBorders>
                  <w:shd w:val="clear" w:color="auto" w:fill="auto"/>
                  <w:vAlign w:val="center"/>
                  <w:hideMark/>
                </w:tcPr>
                <w:p w14:paraId="7C9C60B8" w14:textId="22CD9201" w:rsidR="007A59FB" w:rsidRPr="00CB6F86" w:rsidRDefault="00357368" w:rsidP="007A59FB">
                  <w:pPr>
                    <w:jc w:val="center"/>
                    <w:rPr>
                      <w:rFonts w:eastAsia="Times New Roman"/>
                      <w:color w:val="000000"/>
                      <w:lang w:val="en-US"/>
                    </w:rPr>
                  </w:pPr>
                  <w:r>
                    <w:rPr>
                      <w:rFonts w:eastAsia="Times New Roman"/>
                      <w:color w:val="000000"/>
                      <w:lang w:val="es-PE"/>
                    </w:rPr>
                    <w:t>2.</w:t>
                  </w:r>
                  <w:r w:rsidR="007A59FB" w:rsidRPr="00CB6F86">
                    <w:rPr>
                      <w:rFonts w:eastAsia="Times New Roman"/>
                      <w:color w:val="000000"/>
                      <w:lang w:val="es-PE"/>
                    </w:rPr>
                    <w:t>806</w:t>
                  </w:r>
                </w:p>
              </w:tc>
              <w:tc>
                <w:tcPr>
                  <w:tcW w:w="1571" w:type="dxa"/>
                  <w:tcBorders>
                    <w:top w:val="nil"/>
                    <w:left w:val="nil"/>
                    <w:bottom w:val="nil"/>
                    <w:right w:val="nil"/>
                  </w:tcBorders>
                  <w:shd w:val="clear" w:color="auto" w:fill="auto"/>
                  <w:vAlign w:val="center"/>
                  <w:hideMark/>
                </w:tcPr>
                <w:p w14:paraId="1637748C" w14:textId="59B4465F" w:rsidR="007A59FB" w:rsidRPr="00CB6F86" w:rsidRDefault="00BC0EBE" w:rsidP="007A59FB">
                  <w:pPr>
                    <w:jc w:val="center"/>
                    <w:rPr>
                      <w:rFonts w:eastAsia="Times New Roman"/>
                      <w:color w:val="000000"/>
                      <w:lang w:val="en-US"/>
                    </w:rPr>
                  </w:pPr>
                  <w:r>
                    <w:rPr>
                      <w:rFonts w:eastAsia="Times New Roman"/>
                      <w:color w:val="000000"/>
                      <w:lang w:val="es-PE"/>
                    </w:rPr>
                    <w:t xml:space="preserve">  </w:t>
                  </w:r>
                  <w:r w:rsidR="00357368">
                    <w:rPr>
                      <w:rFonts w:eastAsia="Times New Roman"/>
                      <w:color w:val="000000"/>
                      <w:lang w:val="es-PE"/>
                    </w:rPr>
                    <w:t>7.</w:t>
                  </w:r>
                  <w:r w:rsidR="007A59FB" w:rsidRPr="00CB6F86">
                    <w:rPr>
                      <w:rFonts w:eastAsia="Times New Roman"/>
                      <w:color w:val="000000"/>
                      <w:lang w:val="es-PE"/>
                    </w:rPr>
                    <w:t>335</w:t>
                  </w:r>
                </w:p>
              </w:tc>
              <w:tc>
                <w:tcPr>
                  <w:tcW w:w="1311" w:type="dxa"/>
                  <w:tcBorders>
                    <w:top w:val="nil"/>
                    <w:left w:val="nil"/>
                    <w:bottom w:val="nil"/>
                    <w:right w:val="nil"/>
                  </w:tcBorders>
                  <w:shd w:val="clear" w:color="auto" w:fill="auto"/>
                  <w:vAlign w:val="center"/>
                  <w:hideMark/>
                </w:tcPr>
                <w:p w14:paraId="687EE284" w14:textId="4A97F711" w:rsidR="007A59FB" w:rsidRPr="00CB6F86" w:rsidRDefault="00BC0EBE" w:rsidP="00973704">
                  <w:pPr>
                    <w:rPr>
                      <w:rFonts w:eastAsia="Times New Roman"/>
                      <w:color w:val="000000"/>
                      <w:lang w:val="en-US"/>
                    </w:rPr>
                  </w:pPr>
                  <w:r>
                    <w:rPr>
                      <w:rFonts w:eastAsia="Times New Roman"/>
                      <w:color w:val="000000"/>
                      <w:lang w:val="es-PE"/>
                    </w:rPr>
                    <w:t xml:space="preserve">     </w:t>
                  </w:r>
                  <w:r w:rsidR="00357368">
                    <w:rPr>
                      <w:rFonts w:eastAsia="Times New Roman"/>
                      <w:color w:val="000000"/>
                      <w:lang w:val="es-PE"/>
                    </w:rPr>
                    <w:t>18.</w:t>
                  </w:r>
                  <w:r w:rsidR="007A59FB" w:rsidRPr="00CB6F86">
                    <w:rPr>
                      <w:rFonts w:eastAsia="Times New Roman"/>
                      <w:color w:val="000000"/>
                      <w:lang w:val="es-PE"/>
                    </w:rPr>
                    <w:t>188</w:t>
                  </w:r>
                </w:p>
              </w:tc>
              <w:tc>
                <w:tcPr>
                  <w:tcW w:w="1712" w:type="dxa"/>
                  <w:tcBorders>
                    <w:top w:val="nil"/>
                    <w:left w:val="nil"/>
                    <w:bottom w:val="nil"/>
                    <w:right w:val="nil"/>
                  </w:tcBorders>
                  <w:shd w:val="clear" w:color="auto" w:fill="auto"/>
                  <w:vAlign w:val="center"/>
                  <w:hideMark/>
                </w:tcPr>
                <w:p w14:paraId="66C4E2FA" w14:textId="6670E08A" w:rsidR="007A59FB" w:rsidRPr="00CB6F86" w:rsidRDefault="00BC0EBE" w:rsidP="002A66DD">
                  <w:pPr>
                    <w:rPr>
                      <w:rFonts w:eastAsia="Times New Roman"/>
                      <w:color w:val="000000"/>
                      <w:lang w:val="en-US"/>
                    </w:rPr>
                  </w:pPr>
                  <w:r>
                    <w:rPr>
                      <w:rFonts w:eastAsia="Times New Roman"/>
                      <w:color w:val="000000"/>
                      <w:lang w:val="es-PE"/>
                    </w:rPr>
                    <w:t xml:space="preserve">         </w:t>
                  </w:r>
                  <w:r w:rsidR="00357368">
                    <w:rPr>
                      <w:rFonts w:eastAsia="Times New Roman"/>
                      <w:color w:val="000000"/>
                      <w:lang w:val="es-PE"/>
                    </w:rPr>
                    <w:t>10,</w:t>
                  </w:r>
                  <w:r w:rsidR="007A59FB" w:rsidRPr="00CB6F86">
                    <w:rPr>
                      <w:rFonts w:eastAsia="Times New Roman"/>
                      <w:color w:val="000000"/>
                      <w:lang w:val="es-PE"/>
                    </w:rPr>
                    <w:t>1%</w:t>
                  </w:r>
                </w:p>
              </w:tc>
            </w:tr>
            <w:tr w:rsidR="007A59FB" w:rsidRPr="00CB6F86" w14:paraId="0AB24B71" w14:textId="77777777" w:rsidTr="002C7444">
              <w:trPr>
                <w:trHeight w:val="278"/>
                <w:jc w:val="center"/>
              </w:trPr>
              <w:tc>
                <w:tcPr>
                  <w:tcW w:w="820" w:type="dxa"/>
                  <w:tcBorders>
                    <w:top w:val="nil"/>
                    <w:left w:val="nil"/>
                    <w:bottom w:val="nil"/>
                    <w:right w:val="nil"/>
                  </w:tcBorders>
                  <w:shd w:val="clear" w:color="auto" w:fill="auto"/>
                  <w:noWrap/>
                  <w:vAlign w:val="center"/>
                  <w:hideMark/>
                </w:tcPr>
                <w:p w14:paraId="22403314"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2009</w:t>
                  </w:r>
                </w:p>
              </w:tc>
              <w:tc>
                <w:tcPr>
                  <w:tcW w:w="1106" w:type="dxa"/>
                  <w:tcBorders>
                    <w:top w:val="nil"/>
                    <w:left w:val="nil"/>
                    <w:bottom w:val="nil"/>
                    <w:right w:val="nil"/>
                  </w:tcBorders>
                  <w:shd w:val="clear" w:color="auto" w:fill="auto"/>
                  <w:noWrap/>
                  <w:vAlign w:val="center"/>
                  <w:hideMark/>
                </w:tcPr>
                <w:p w14:paraId="13F4589D" w14:textId="6F726A6D" w:rsidR="007A59FB" w:rsidRPr="00CB6F86" w:rsidRDefault="00357368" w:rsidP="007A59FB">
                  <w:pPr>
                    <w:jc w:val="center"/>
                    <w:rPr>
                      <w:rFonts w:eastAsia="Times New Roman"/>
                      <w:color w:val="000000"/>
                      <w:lang w:val="en-US"/>
                    </w:rPr>
                  </w:pPr>
                  <w:r>
                    <w:rPr>
                      <w:rFonts w:eastAsia="Times New Roman"/>
                      <w:color w:val="000000"/>
                      <w:lang w:val="es-PE"/>
                    </w:rPr>
                    <w:t>11.</w:t>
                  </w:r>
                  <w:r w:rsidR="007A59FB" w:rsidRPr="00CB6F86">
                    <w:rPr>
                      <w:rFonts w:eastAsia="Times New Roman"/>
                      <w:color w:val="000000"/>
                      <w:lang w:val="es-PE"/>
                    </w:rPr>
                    <w:t>285</w:t>
                  </w:r>
                </w:p>
              </w:tc>
              <w:tc>
                <w:tcPr>
                  <w:tcW w:w="914" w:type="dxa"/>
                  <w:tcBorders>
                    <w:top w:val="nil"/>
                    <w:left w:val="nil"/>
                    <w:bottom w:val="nil"/>
                    <w:right w:val="nil"/>
                  </w:tcBorders>
                  <w:shd w:val="clear" w:color="auto" w:fill="auto"/>
                  <w:noWrap/>
                  <w:vAlign w:val="center"/>
                  <w:hideMark/>
                </w:tcPr>
                <w:p w14:paraId="1FF84A6A" w14:textId="7D924F20" w:rsidR="007A59FB" w:rsidRPr="00CB6F86" w:rsidRDefault="00357368" w:rsidP="007A59FB">
                  <w:pPr>
                    <w:jc w:val="center"/>
                    <w:rPr>
                      <w:rFonts w:eastAsia="Times New Roman"/>
                      <w:color w:val="000000"/>
                      <w:lang w:val="en-US"/>
                    </w:rPr>
                  </w:pPr>
                  <w:r>
                    <w:rPr>
                      <w:rFonts w:eastAsia="Times New Roman"/>
                      <w:color w:val="000000"/>
                      <w:lang w:val="es-PE"/>
                    </w:rPr>
                    <w:t>3.</w:t>
                  </w:r>
                  <w:r w:rsidR="007A59FB" w:rsidRPr="00CB6F86">
                    <w:rPr>
                      <w:rFonts w:eastAsia="Times New Roman"/>
                      <w:color w:val="000000"/>
                      <w:lang w:val="es-PE"/>
                    </w:rPr>
                    <w:t>421</w:t>
                  </w:r>
                </w:p>
              </w:tc>
              <w:tc>
                <w:tcPr>
                  <w:tcW w:w="1611" w:type="dxa"/>
                  <w:tcBorders>
                    <w:top w:val="nil"/>
                    <w:left w:val="nil"/>
                    <w:bottom w:val="nil"/>
                    <w:right w:val="nil"/>
                  </w:tcBorders>
                  <w:shd w:val="clear" w:color="auto" w:fill="auto"/>
                  <w:vAlign w:val="center"/>
                  <w:hideMark/>
                </w:tcPr>
                <w:p w14:paraId="134B9403" w14:textId="61C30CC9" w:rsidR="007A59FB" w:rsidRPr="00CB6F86" w:rsidRDefault="00357368" w:rsidP="007A59FB">
                  <w:pPr>
                    <w:jc w:val="center"/>
                    <w:rPr>
                      <w:rFonts w:eastAsia="Times New Roman"/>
                      <w:color w:val="000000"/>
                      <w:lang w:val="en-US"/>
                    </w:rPr>
                  </w:pPr>
                  <w:r>
                    <w:rPr>
                      <w:rFonts w:eastAsia="Times New Roman"/>
                      <w:color w:val="000000"/>
                      <w:lang w:val="es-PE"/>
                    </w:rPr>
                    <w:t>1.</w:t>
                  </w:r>
                  <w:r w:rsidR="007A59FB" w:rsidRPr="00CB6F86">
                    <w:rPr>
                      <w:rFonts w:eastAsia="Times New Roman"/>
                      <w:color w:val="000000"/>
                      <w:lang w:val="es-PE"/>
                    </w:rPr>
                    <w:t>654</w:t>
                  </w:r>
                </w:p>
              </w:tc>
              <w:tc>
                <w:tcPr>
                  <w:tcW w:w="1571" w:type="dxa"/>
                  <w:tcBorders>
                    <w:top w:val="nil"/>
                    <w:left w:val="nil"/>
                    <w:bottom w:val="nil"/>
                    <w:right w:val="nil"/>
                  </w:tcBorders>
                  <w:shd w:val="clear" w:color="auto" w:fill="auto"/>
                  <w:vAlign w:val="center"/>
                  <w:hideMark/>
                </w:tcPr>
                <w:p w14:paraId="5579DFDA" w14:textId="3AE9B14C" w:rsidR="007A59FB" w:rsidRPr="00CB6F86" w:rsidRDefault="00357368" w:rsidP="007A59FB">
                  <w:pPr>
                    <w:jc w:val="center"/>
                    <w:rPr>
                      <w:rFonts w:eastAsia="Times New Roman"/>
                      <w:color w:val="000000"/>
                      <w:lang w:val="en-US"/>
                    </w:rPr>
                  </w:pPr>
                  <w:r>
                    <w:rPr>
                      <w:rFonts w:eastAsia="Times New Roman"/>
                      <w:color w:val="000000"/>
                      <w:lang w:val="es-PE"/>
                    </w:rPr>
                    <w:t>11.</w:t>
                  </w:r>
                  <w:r w:rsidR="007A59FB" w:rsidRPr="00CB6F86">
                    <w:rPr>
                      <w:rFonts w:eastAsia="Times New Roman"/>
                      <w:color w:val="000000"/>
                      <w:lang w:val="es-PE"/>
                    </w:rPr>
                    <w:t>096</w:t>
                  </w:r>
                </w:p>
              </w:tc>
              <w:tc>
                <w:tcPr>
                  <w:tcW w:w="1311" w:type="dxa"/>
                  <w:tcBorders>
                    <w:top w:val="nil"/>
                    <w:left w:val="nil"/>
                    <w:bottom w:val="nil"/>
                    <w:right w:val="nil"/>
                  </w:tcBorders>
                  <w:shd w:val="clear" w:color="auto" w:fill="auto"/>
                  <w:vAlign w:val="center"/>
                  <w:hideMark/>
                </w:tcPr>
                <w:p w14:paraId="3F8D80D7" w14:textId="4732C892" w:rsidR="007A59FB" w:rsidRPr="00CB6F86" w:rsidRDefault="00357368" w:rsidP="007A59FB">
                  <w:pPr>
                    <w:jc w:val="center"/>
                    <w:rPr>
                      <w:rFonts w:eastAsia="Times New Roman"/>
                      <w:color w:val="000000"/>
                      <w:lang w:val="en-US"/>
                    </w:rPr>
                  </w:pPr>
                  <w:r>
                    <w:rPr>
                      <w:rFonts w:eastAsia="Times New Roman"/>
                      <w:color w:val="000000"/>
                      <w:lang w:val="es-PE"/>
                    </w:rPr>
                    <w:t>5.</w:t>
                  </w:r>
                  <w:r w:rsidR="007A59FB" w:rsidRPr="00CB6F86">
                    <w:rPr>
                      <w:rFonts w:eastAsia="Times New Roman"/>
                      <w:color w:val="000000"/>
                      <w:lang w:val="es-PE"/>
                    </w:rPr>
                    <w:t>264</w:t>
                  </w:r>
                </w:p>
              </w:tc>
              <w:tc>
                <w:tcPr>
                  <w:tcW w:w="1712" w:type="dxa"/>
                  <w:tcBorders>
                    <w:top w:val="nil"/>
                    <w:left w:val="nil"/>
                    <w:bottom w:val="nil"/>
                    <w:right w:val="nil"/>
                  </w:tcBorders>
                  <w:shd w:val="clear" w:color="auto" w:fill="auto"/>
                  <w:vAlign w:val="center"/>
                  <w:hideMark/>
                </w:tcPr>
                <w:p w14:paraId="32949F5C" w14:textId="3739F39F" w:rsidR="007A59FB" w:rsidRPr="00CB6F86" w:rsidRDefault="00357368" w:rsidP="007A59FB">
                  <w:pPr>
                    <w:jc w:val="center"/>
                    <w:rPr>
                      <w:rFonts w:eastAsia="Times New Roman"/>
                      <w:color w:val="000000"/>
                      <w:lang w:val="en-US"/>
                    </w:rPr>
                  </w:pPr>
                  <w:r>
                    <w:rPr>
                      <w:rFonts w:eastAsia="Times New Roman"/>
                      <w:color w:val="000000"/>
                      <w:lang w:val="es-PE"/>
                    </w:rPr>
                    <w:t>3,</w:t>
                  </w:r>
                  <w:r w:rsidR="007A59FB" w:rsidRPr="00CB6F86">
                    <w:rPr>
                      <w:rFonts w:eastAsia="Times New Roman"/>
                      <w:color w:val="000000"/>
                      <w:lang w:val="es-PE"/>
                    </w:rPr>
                    <w:t>1%</w:t>
                  </w:r>
                </w:p>
              </w:tc>
            </w:tr>
            <w:tr w:rsidR="007A59FB" w:rsidRPr="00CB6F86" w14:paraId="0F4D83D9" w14:textId="77777777" w:rsidTr="002C7444">
              <w:trPr>
                <w:trHeight w:val="278"/>
                <w:jc w:val="center"/>
              </w:trPr>
              <w:tc>
                <w:tcPr>
                  <w:tcW w:w="820" w:type="dxa"/>
                  <w:tcBorders>
                    <w:top w:val="nil"/>
                    <w:left w:val="nil"/>
                    <w:bottom w:val="nil"/>
                    <w:right w:val="nil"/>
                  </w:tcBorders>
                  <w:shd w:val="clear" w:color="auto" w:fill="auto"/>
                  <w:noWrap/>
                  <w:vAlign w:val="center"/>
                  <w:hideMark/>
                </w:tcPr>
                <w:p w14:paraId="7504D84F"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2010</w:t>
                  </w:r>
                </w:p>
              </w:tc>
              <w:tc>
                <w:tcPr>
                  <w:tcW w:w="1106" w:type="dxa"/>
                  <w:tcBorders>
                    <w:top w:val="nil"/>
                    <w:left w:val="nil"/>
                    <w:bottom w:val="nil"/>
                    <w:right w:val="nil"/>
                  </w:tcBorders>
                  <w:shd w:val="clear" w:color="auto" w:fill="auto"/>
                  <w:noWrap/>
                  <w:vAlign w:val="center"/>
                  <w:hideMark/>
                </w:tcPr>
                <w:p w14:paraId="55EB399F" w14:textId="5BDC83FF" w:rsidR="007A59FB" w:rsidRPr="00CB6F86" w:rsidRDefault="00357368" w:rsidP="007A59FB">
                  <w:pPr>
                    <w:jc w:val="center"/>
                    <w:rPr>
                      <w:rFonts w:eastAsia="Times New Roman"/>
                      <w:color w:val="000000"/>
                      <w:lang w:val="en-US"/>
                    </w:rPr>
                  </w:pPr>
                  <w:r>
                    <w:rPr>
                      <w:rFonts w:eastAsia="Times New Roman"/>
                      <w:color w:val="000000"/>
                      <w:lang w:val="es-PE"/>
                    </w:rPr>
                    <w:t>12.</w:t>
                  </w:r>
                  <w:r w:rsidR="007A59FB" w:rsidRPr="00CB6F86">
                    <w:rPr>
                      <w:rFonts w:eastAsia="Times New Roman"/>
                      <w:color w:val="000000"/>
                      <w:lang w:val="es-PE"/>
                    </w:rPr>
                    <w:t>72</w:t>
                  </w:r>
                  <w:r w:rsidR="00BC0EBE">
                    <w:rPr>
                      <w:rFonts w:eastAsia="Times New Roman"/>
                      <w:color w:val="000000"/>
                      <w:lang w:val="es-PE"/>
                    </w:rPr>
                    <w:t>0</w:t>
                  </w:r>
                </w:p>
              </w:tc>
              <w:tc>
                <w:tcPr>
                  <w:tcW w:w="914" w:type="dxa"/>
                  <w:tcBorders>
                    <w:top w:val="nil"/>
                    <w:left w:val="nil"/>
                    <w:bottom w:val="nil"/>
                    <w:right w:val="nil"/>
                  </w:tcBorders>
                  <w:shd w:val="clear" w:color="auto" w:fill="auto"/>
                  <w:noWrap/>
                  <w:vAlign w:val="center"/>
                  <w:hideMark/>
                </w:tcPr>
                <w:p w14:paraId="3C0E6A65" w14:textId="22123B87" w:rsidR="007A59FB" w:rsidRPr="00CB6F86" w:rsidRDefault="00357368" w:rsidP="007A59FB">
                  <w:pPr>
                    <w:jc w:val="center"/>
                    <w:rPr>
                      <w:rFonts w:eastAsia="Times New Roman"/>
                      <w:color w:val="000000"/>
                      <w:lang w:val="en-US"/>
                    </w:rPr>
                  </w:pPr>
                  <w:r>
                    <w:rPr>
                      <w:rFonts w:eastAsia="Times New Roman"/>
                      <w:color w:val="000000"/>
                      <w:lang w:val="es-PE"/>
                    </w:rPr>
                    <w:t>3.</w:t>
                  </w:r>
                  <w:r w:rsidR="007A59FB" w:rsidRPr="00CB6F86">
                    <w:rPr>
                      <w:rFonts w:eastAsia="Times New Roman"/>
                      <w:color w:val="000000"/>
                      <w:lang w:val="es-PE"/>
                    </w:rPr>
                    <w:t>837</w:t>
                  </w:r>
                </w:p>
              </w:tc>
              <w:tc>
                <w:tcPr>
                  <w:tcW w:w="1611" w:type="dxa"/>
                  <w:tcBorders>
                    <w:top w:val="nil"/>
                    <w:left w:val="nil"/>
                    <w:bottom w:val="nil"/>
                    <w:right w:val="nil"/>
                  </w:tcBorders>
                  <w:shd w:val="clear" w:color="auto" w:fill="auto"/>
                  <w:vAlign w:val="center"/>
                  <w:hideMark/>
                </w:tcPr>
                <w:p w14:paraId="1014722C" w14:textId="153A9850" w:rsidR="007A59FB" w:rsidRPr="00CB6F86" w:rsidRDefault="00357368" w:rsidP="007A59FB">
                  <w:pPr>
                    <w:jc w:val="center"/>
                    <w:rPr>
                      <w:rFonts w:eastAsia="Times New Roman"/>
                      <w:color w:val="000000"/>
                      <w:lang w:val="en-US"/>
                    </w:rPr>
                  </w:pPr>
                  <w:r>
                    <w:rPr>
                      <w:rFonts w:eastAsia="Times New Roman"/>
                      <w:color w:val="000000"/>
                      <w:lang w:val="es-PE"/>
                    </w:rPr>
                    <w:t>3.</w:t>
                  </w:r>
                  <w:r w:rsidR="007A59FB" w:rsidRPr="00CB6F86">
                    <w:rPr>
                      <w:rFonts w:eastAsia="Times New Roman"/>
                      <w:color w:val="000000"/>
                      <w:lang w:val="es-PE"/>
                    </w:rPr>
                    <w:t>893</w:t>
                  </w:r>
                </w:p>
              </w:tc>
              <w:tc>
                <w:tcPr>
                  <w:tcW w:w="1571" w:type="dxa"/>
                  <w:tcBorders>
                    <w:top w:val="nil"/>
                    <w:left w:val="nil"/>
                    <w:bottom w:val="nil"/>
                    <w:right w:val="nil"/>
                  </w:tcBorders>
                  <w:shd w:val="clear" w:color="auto" w:fill="auto"/>
                  <w:vAlign w:val="center"/>
                  <w:hideMark/>
                </w:tcPr>
                <w:p w14:paraId="7B6CAE6A" w14:textId="630F3BDD" w:rsidR="007A59FB" w:rsidRPr="00CB6F86" w:rsidRDefault="00357368" w:rsidP="007A59FB">
                  <w:pPr>
                    <w:jc w:val="center"/>
                    <w:rPr>
                      <w:rFonts w:eastAsia="Times New Roman"/>
                      <w:color w:val="000000"/>
                      <w:lang w:val="en-US"/>
                    </w:rPr>
                  </w:pPr>
                  <w:r>
                    <w:rPr>
                      <w:rFonts w:eastAsia="Times New Roman"/>
                      <w:color w:val="000000"/>
                      <w:lang w:val="es-PE"/>
                    </w:rPr>
                    <w:t>20.</w:t>
                  </w:r>
                  <w:r w:rsidR="007A59FB" w:rsidRPr="00CB6F86">
                    <w:rPr>
                      <w:rFonts w:eastAsia="Times New Roman"/>
                      <w:color w:val="000000"/>
                      <w:lang w:val="es-PE"/>
                    </w:rPr>
                    <w:t>358</w:t>
                  </w:r>
                </w:p>
              </w:tc>
              <w:tc>
                <w:tcPr>
                  <w:tcW w:w="1311" w:type="dxa"/>
                  <w:tcBorders>
                    <w:top w:val="nil"/>
                    <w:left w:val="nil"/>
                    <w:bottom w:val="nil"/>
                    <w:right w:val="nil"/>
                  </w:tcBorders>
                  <w:shd w:val="clear" w:color="auto" w:fill="auto"/>
                  <w:vAlign w:val="center"/>
                  <w:hideMark/>
                </w:tcPr>
                <w:p w14:paraId="136C0DB3" w14:textId="154D2339" w:rsidR="007A59FB" w:rsidRPr="00CB6F86" w:rsidRDefault="00BC0EBE" w:rsidP="007A59FB">
                  <w:pPr>
                    <w:jc w:val="center"/>
                    <w:rPr>
                      <w:rFonts w:eastAsia="Times New Roman"/>
                      <w:color w:val="000000"/>
                      <w:lang w:val="en-US"/>
                    </w:rPr>
                  </w:pPr>
                  <w:r>
                    <w:rPr>
                      <w:rFonts w:eastAsia="Times New Roman"/>
                      <w:color w:val="000000"/>
                      <w:lang w:val="es-PE"/>
                    </w:rPr>
                    <w:t xml:space="preserve">     </w:t>
                  </w:r>
                  <w:r w:rsidR="007A59FB" w:rsidRPr="00CB6F86">
                    <w:rPr>
                      <w:rFonts w:eastAsia="Times New Roman"/>
                      <w:color w:val="000000"/>
                      <w:lang w:val="es-PE"/>
                    </w:rPr>
                    <w:t>92</w:t>
                  </w:r>
                </w:p>
              </w:tc>
              <w:tc>
                <w:tcPr>
                  <w:tcW w:w="1712" w:type="dxa"/>
                  <w:tcBorders>
                    <w:top w:val="nil"/>
                    <w:left w:val="nil"/>
                    <w:bottom w:val="nil"/>
                    <w:right w:val="nil"/>
                  </w:tcBorders>
                  <w:shd w:val="clear" w:color="auto" w:fill="auto"/>
                  <w:vAlign w:val="center"/>
                  <w:hideMark/>
                </w:tcPr>
                <w:p w14:paraId="335642CD" w14:textId="57F22D4F" w:rsidR="007A59FB" w:rsidRPr="00CB6F86" w:rsidRDefault="00357368" w:rsidP="007A59FB">
                  <w:pPr>
                    <w:jc w:val="center"/>
                    <w:rPr>
                      <w:rFonts w:eastAsia="Times New Roman"/>
                      <w:color w:val="000000"/>
                      <w:lang w:val="en-US"/>
                    </w:rPr>
                  </w:pPr>
                  <w:r>
                    <w:rPr>
                      <w:rFonts w:eastAsia="Times New Roman"/>
                      <w:color w:val="000000"/>
                      <w:lang w:val="es-PE"/>
                    </w:rPr>
                    <w:t>0,</w:t>
                  </w:r>
                  <w:r w:rsidR="007A59FB" w:rsidRPr="00CB6F86">
                    <w:rPr>
                      <w:rFonts w:eastAsia="Times New Roman"/>
                      <w:color w:val="000000"/>
                      <w:lang w:val="es-PE"/>
                    </w:rPr>
                    <w:t>0%</w:t>
                  </w:r>
                </w:p>
              </w:tc>
            </w:tr>
            <w:tr w:rsidR="007A59FB" w:rsidRPr="00CB6F86" w14:paraId="330213A8" w14:textId="77777777" w:rsidTr="002C7444">
              <w:trPr>
                <w:trHeight w:val="278"/>
                <w:jc w:val="center"/>
              </w:trPr>
              <w:tc>
                <w:tcPr>
                  <w:tcW w:w="820" w:type="dxa"/>
                  <w:tcBorders>
                    <w:top w:val="nil"/>
                    <w:left w:val="nil"/>
                    <w:bottom w:val="nil"/>
                    <w:right w:val="nil"/>
                  </w:tcBorders>
                  <w:shd w:val="clear" w:color="auto" w:fill="auto"/>
                  <w:noWrap/>
                  <w:vAlign w:val="center"/>
                  <w:hideMark/>
                </w:tcPr>
                <w:p w14:paraId="2BC7D95A"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2011</w:t>
                  </w:r>
                </w:p>
              </w:tc>
              <w:tc>
                <w:tcPr>
                  <w:tcW w:w="1106" w:type="dxa"/>
                  <w:tcBorders>
                    <w:top w:val="nil"/>
                    <w:left w:val="nil"/>
                    <w:bottom w:val="nil"/>
                    <w:right w:val="nil"/>
                  </w:tcBorders>
                  <w:shd w:val="clear" w:color="auto" w:fill="auto"/>
                  <w:noWrap/>
                  <w:vAlign w:val="center"/>
                  <w:hideMark/>
                </w:tcPr>
                <w:p w14:paraId="2CEA0A0B" w14:textId="3F21743D" w:rsidR="007A59FB" w:rsidRPr="00CB6F86" w:rsidRDefault="00357368" w:rsidP="007A59FB">
                  <w:pPr>
                    <w:jc w:val="center"/>
                    <w:rPr>
                      <w:rFonts w:eastAsia="Times New Roman"/>
                      <w:color w:val="000000"/>
                      <w:lang w:val="en-US"/>
                    </w:rPr>
                  </w:pPr>
                  <w:r>
                    <w:rPr>
                      <w:rFonts w:eastAsia="Times New Roman"/>
                      <w:color w:val="000000"/>
                      <w:lang w:val="es-PE"/>
                    </w:rPr>
                    <w:t>13.</w:t>
                  </w:r>
                  <w:r w:rsidR="007A59FB" w:rsidRPr="00CB6F86">
                    <w:rPr>
                      <w:rFonts w:eastAsia="Times New Roman"/>
                      <w:color w:val="000000"/>
                      <w:lang w:val="es-PE"/>
                    </w:rPr>
                    <w:t>157</w:t>
                  </w:r>
                </w:p>
              </w:tc>
              <w:tc>
                <w:tcPr>
                  <w:tcW w:w="914" w:type="dxa"/>
                  <w:tcBorders>
                    <w:top w:val="nil"/>
                    <w:left w:val="nil"/>
                    <w:bottom w:val="nil"/>
                    <w:right w:val="nil"/>
                  </w:tcBorders>
                  <w:shd w:val="clear" w:color="auto" w:fill="auto"/>
                  <w:noWrap/>
                  <w:vAlign w:val="center"/>
                  <w:hideMark/>
                </w:tcPr>
                <w:p w14:paraId="29901240" w14:textId="146D0770" w:rsidR="007A59FB" w:rsidRPr="00CB6F86" w:rsidRDefault="00357368" w:rsidP="007A59FB">
                  <w:pPr>
                    <w:jc w:val="center"/>
                    <w:rPr>
                      <w:rFonts w:eastAsia="Times New Roman"/>
                      <w:color w:val="000000"/>
                      <w:lang w:val="en-US"/>
                    </w:rPr>
                  </w:pPr>
                  <w:r>
                    <w:rPr>
                      <w:rFonts w:eastAsia="Times New Roman"/>
                      <w:color w:val="000000"/>
                      <w:lang w:val="es-PE"/>
                    </w:rPr>
                    <w:t>4.</w:t>
                  </w:r>
                  <w:r w:rsidR="007A59FB" w:rsidRPr="00CB6F86">
                    <w:rPr>
                      <w:rFonts w:eastAsia="Times New Roman"/>
                      <w:color w:val="000000"/>
                      <w:lang w:val="es-PE"/>
                    </w:rPr>
                    <w:t>406</w:t>
                  </w:r>
                </w:p>
              </w:tc>
              <w:tc>
                <w:tcPr>
                  <w:tcW w:w="1611" w:type="dxa"/>
                  <w:tcBorders>
                    <w:top w:val="nil"/>
                    <w:left w:val="nil"/>
                    <w:bottom w:val="nil"/>
                    <w:right w:val="nil"/>
                  </w:tcBorders>
                  <w:shd w:val="clear" w:color="auto" w:fill="auto"/>
                  <w:vAlign w:val="center"/>
                  <w:hideMark/>
                </w:tcPr>
                <w:p w14:paraId="1718FB51" w14:textId="1362F96F" w:rsidR="007A59FB" w:rsidRPr="00CB6F86" w:rsidRDefault="002A66DD" w:rsidP="002A66DD">
                  <w:pPr>
                    <w:rPr>
                      <w:rFonts w:eastAsia="Times New Roman"/>
                      <w:color w:val="000000"/>
                      <w:lang w:val="en-US"/>
                    </w:rPr>
                  </w:pPr>
                  <w:r>
                    <w:rPr>
                      <w:rFonts w:eastAsia="Times New Roman"/>
                      <w:color w:val="000000"/>
                      <w:lang w:val="es-PE"/>
                    </w:rPr>
                    <w:t xml:space="preserve">        </w:t>
                  </w:r>
                  <w:r w:rsidR="007A59FB" w:rsidRPr="00CB6F86">
                    <w:rPr>
                      <w:rFonts w:eastAsia="Times New Roman"/>
                      <w:color w:val="000000"/>
                      <w:lang w:val="es-PE"/>
                    </w:rPr>
                    <w:t>10</w:t>
                  </w:r>
                  <w:r w:rsidR="00357368">
                    <w:rPr>
                      <w:rFonts w:eastAsia="Times New Roman"/>
                      <w:color w:val="000000"/>
                      <w:lang w:val="es-PE"/>
                    </w:rPr>
                    <w:t>.</w:t>
                  </w:r>
                  <w:r w:rsidR="007A59FB" w:rsidRPr="00CB6F86">
                    <w:rPr>
                      <w:rFonts w:eastAsia="Times New Roman"/>
                      <w:color w:val="000000"/>
                      <w:lang w:val="es-PE"/>
                    </w:rPr>
                    <w:t>588</w:t>
                  </w:r>
                </w:p>
              </w:tc>
              <w:tc>
                <w:tcPr>
                  <w:tcW w:w="1571" w:type="dxa"/>
                  <w:tcBorders>
                    <w:top w:val="nil"/>
                    <w:left w:val="nil"/>
                    <w:bottom w:val="nil"/>
                    <w:right w:val="nil"/>
                  </w:tcBorders>
                  <w:shd w:val="clear" w:color="auto" w:fill="auto"/>
                  <w:vAlign w:val="center"/>
                  <w:hideMark/>
                </w:tcPr>
                <w:p w14:paraId="346E12A4" w14:textId="59D3B461" w:rsidR="007A59FB" w:rsidRPr="00CB6F86" w:rsidRDefault="00357368" w:rsidP="007A59FB">
                  <w:pPr>
                    <w:jc w:val="center"/>
                    <w:rPr>
                      <w:rFonts w:eastAsia="Times New Roman"/>
                      <w:color w:val="000000"/>
                      <w:lang w:val="en-US"/>
                    </w:rPr>
                  </w:pPr>
                  <w:r>
                    <w:rPr>
                      <w:rFonts w:eastAsia="Times New Roman"/>
                      <w:color w:val="000000"/>
                      <w:lang w:val="es-PE"/>
                    </w:rPr>
                    <w:t>25.</w:t>
                  </w:r>
                  <w:r w:rsidR="007A59FB" w:rsidRPr="00CB6F86">
                    <w:rPr>
                      <w:rFonts w:eastAsia="Times New Roman"/>
                      <w:color w:val="000000"/>
                      <w:lang w:val="es-PE"/>
                    </w:rPr>
                    <w:t>928</w:t>
                  </w:r>
                </w:p>
              </w:tc>
              <w:tc>
                <w:tcPr>
                  <w:tcW w:w="1311" w:type="dxa"/>
                  <w:tcBorders>
                    <w:top w:val="nil"/>
                    <w:left w:val="nil"/>
                    <w:bottom w:val="nil"/>
                    <w:right w:val="nil"/>
                  </w:tcBorders>
                  <w:shd w:val="clear" w:color="auto" w:fill="auto"/>
                  <w:vAlign w:val="center"/>
                  <w:hideMark/>
                </w:tcPr>
                <w:p w14:paraId="7DCDEA9A" w14:textId="39A77227" w:rsidR="007A59FB" w:rsidRPr="00CB6F86" w:rsidRDefault="00357368" w:rsidP="007A59FB">
                  <w:pPr>
                    <w:jc w:val="center"/>
                    <w:rPr>
                      <w:rFonts w:eastAsia="Times New Roman"/>
                      <w:color w:val="000000"/>
                      <w:lang w:val="en-US"/>
                    </w:rPr>
                  </w:pPr>
                  <w:r>
                    <w:rPr>
                      <w:rFonts w:eastAsia="Times New Roman"/>
                      <w:color w:val="000000"/>
                      <w:lang w:val="es-PE"/>
                    </w:rPr>
                    <w:t>2.</w:t>
                  </w:r>
                  <w:r w:rsidR="007A59FB" w:rsidRPr="00CB6F86">
                    <w:rPr>
                      <w:rFonts w:eastAsia="Times New Roman"/>
                      <w:color w:val="000000"/>
                      <w:lang w:val="es-PE"/>
                    </w:rPr>
                    <w:t>224</w:t>
                  </w:r>
                </w:p>
              </w:tc>
              <w:tc>
                <w:tcPr>
                  <w:tcW w:w="1712" w:type="dxa"/>
                  <w:tcBorders>
                    <w:top w:val="nil"/>
                    <w:left w:val="nil"/>
                    <w:bottom w:val="nil"/>
                    <w:right w:val="nil"/>
                  </w:tcBorders>
                  <w:shd w:val="clear" w:color="auto" w:fill="auto"/>
                  <w:vAlign w:val="center"/>
                  <w:hideMark/>
                </w:tcPr>
                <w:p w14:paraId="5FAE0BA8" w14:textId="0C40DAA6" w:rsidR="007A59FB" w:rsidRPr="00CB6F86" w:rsidRDefault="00357368" w:rsidP="007A59FB">
                  <w:pPr>
                    <w:jc w:val="center"/>
                    <w:rPr>
                      <w:rFonts w:eastAsia="Times New Roman"/>
                      <w:color w:val="000000"/>
                      <w:lang w:val="en-US"/>
                    </w:rPr>
                  </w:pPr>
                  <w:r>
                    <w:rPr>
                      <w:rFonts w:eastAsia="Times New Roman"/>
                      <w:color w:val="000000"/>
                      <w:lang w:val="es-PE"/>
                    </w:rPr>
                    <w:t>0,</w:t>
                  </w:r>
                  <w:r w:rsidR="007A59FB" w:rsidRPr="00CB6F86">
                    <w:rPr>
                      <w:rFonts w:eastAsia="Times New Roman"/>
                      <w:color w:val="000000"/>
                      <w:lang w:val="es-PE"/>
                    </w:rPr>
                    <w:t>9%</w:t>
                  </w:r>
                </w:p>
              </w:tc>
            </w:tr>
            <w:tr w:rsidR="007A59FB" w:rsidRPr="00CB6F86" w14:paraId="7C3D7544" w14:textId="77777777" w:rsidTr="002C7444">
              <w:trPr>
                <w:trHeight w:val="278"/>
                <w:jc w:val="center"/>
              </w:trPr>
              <w:tc>
                <w:tcPr>
                  <w:tcW w:w="820" w:type="dxa"/>
                  <w:tcBorders>
                    <w:top w:val="nil"/>
                    <w:left w:val="nil"/>
                    <w:bottom w:val="nil"/>
                    <w:right w:val="nil"/>
                  </w:tcBorders>
                  <w:shd w:val="clear" w:color="auto" w:fill="auto"/>
                  <w:noWrap/>
                  <w:vAlign w:val="center"/>
                  <w:hideMark/>
                </w:tcPr>
                <w:p w14:paraId="71B8F5E3"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2012</w:t>
                  </w:r>
                </w:p>
              </w:tc>
              <w:tc>
                <w:tcPr>
                  <w:tcW w:w="1106" w:type="dxa"/>
                  <w:tcBorders>
                    <w:top w:val="nil"/>
                    <w:left w:val="nil"/>
                    <w:bottom w:val="nil"/>
                    <w:right w:val="nil"/>
                  </w:tcBorders>
                  <w:shd w:val="clear" w:color="auto" w:fill="auto"/>
                  <w:noWrap/>
                  <w:vAlign w:val="center"/>
                  <w:hideMark/>
                </w:tcPr>
                <w:p w14:paraId="5FBDE7D8" w14:textId="02B7ED6E" w:rsidR="007A59FB" w:rsidRPr="00CB6F86" w:rsidRDefault="00357368" w:rsidP="007A59FB">
                  <w:pPr>
                    <w:jc w:val="center"/>
                    <w:rPr>
                      <w:rFonts w:eastAsia="Times New Roman"/>
                      <w:color w:val="000000"/>
                      <w:lang w:val="en-US"/>
                    </w:rPr>
                  </w:pPr>
                  <w:r>
                    <w:rPr>
                      <w:rFonts w:eastAsia="Times New Roman"/>
                      <w:color w:val="000000"/>
                      <w:lang w:val="es-PE"/>
                    </w:rPr>
                    <w:t>14.</w:t>
                  </w:r>
                  <w:r w:rsidR="007A59FB" w:rsidRPr="00CB6F86">
                    <w:rPr>
                      <w:rFonts w:eastAsia="Times New Roman"/>
                      <w:color w:val="000000"/>
                      <w:lang w:val="es-PE"/>
                    </w:rPr>
                    <w:t>998</w:t>
                  </w:r>
                </w:p>
              </w:tc>
              <w:tc>
                <w:tcPr>
                  <w:tcW w:w="914" w:type="dxa"/>
                  <w:tcBorders>
                    <w:top w:val="nil"/>
                    <w:left w:val="nil"/>
                    <w:bottom w:val="nil"/>
                    <w:right w:val="nil"/>
                  </w:tcBorders>
                  <w:shd w:val="clear" w:color="auto" w:fill="auto"/>
                  <w:noWrap/>
                  <w:vAlign w:val="center"/>
                  <w:hideMark/>
                </w:tcPr>
                <w:p w14:paraId="13743658" w14:textId="19FBB9A2" w:rsidR="007A59FB" w:rsidRPr="00CB6F86" w:rsidRDefault="00357368" w:rsidP="007A59FB">
                  <w:pPr>
                    <w:jc w:val="center"/>
                    <w:rPr>
                      <w:rFonts w:eastAsia="Times New Roman"/>
                      <w:color w:val="000000"/>
                      <w:lang w:val="en-US"/>
                    </w:rPr>
                  </w:pPr>
                  <w:r>
                    <w:rPr>
                      <w:rFonts w:eastAsia="Times New Roman"/>
                      <w:color w:val="000000"/>
                      <w:lang w:val="es-PE"/>
                    </w:rPr>
                    <w:t>5.</w:t>
                  </w:r>
                  <w:r w:rsidR="007A59FB" w:rsidRPr="00CB6F86">
                    <w:rPr>
                      <w:rFonts w:eastAsia="Times New Roman"/>
                      <w:color w:val="000000"/>
                      <w:lang w:val="es-PE"/>
                    </w:rPr>
                    <w:t>883</w:t>
                  </w:r>
                </w:p>
              </w:tc>
              <w:tc>
                <w:tcPr>
                  <w:tcW w:w="1611" w:type="dxa"/>
                  <w:tcBorders>
                    <w:top w:val="nil"/>
                    <w:left w:val="nil"/>
                    <w:bottom w:val="nil"/>
                    <w:right w:val="nil"/>
                  </w:tcBorders>
                  <w:shd w:val="clear" w:color="auto" w:fill="auto"/>
                  <w:vAlign w:val="center"/>
                  <w:hideMark/>
                </w:tcPr>
                <w:p w14:paraId="6C557E85" w14:textId="5707CEFF" w:rsidR="007A59FB" w:rsidRPr="00CB6F86" w:rsidRDefault="002A66DD" w:rsidP="002A66DD">
                  <w:pPr>
                    <w:rPr>
                      <w:rFonts w:eastAsia="Times New Roman"/>
                      <w:color w:val="000000"/>
                      <w:lang w:val="en-US"/>
                    </w:rPr>
                  </w:pPr>
                  <w:r>
                    <w:rPr>
                      <w:rFonts w:eastAsia="Times New Roman"/>
                      <w:color w:val="000000"/>
                      <w:lang w:val="es-PE"/>
                    </w:rPr>
                    <w:t xml:space="preserve">        </w:t>
                  </w:r>
                  <w:r w:rsidR="00357368">
                    <w:rPr>
                      <w:rFonts w:eastAsia="Times New Roman"/>
                      <w:color w:val="000000"/>
                      <w:lang w:val="es-PE"/>
                    </w:rPr>
                    <w:t>10.</w:t>
                  </w:r>
                  <w:r w:rsidR="007A59FB" w:rsidRPr="00CB6F86">
                    <w:rPr>
                      <w:rFonts w:eastAsia="Times New Roman"/>
                      <w:color w:val="000000"/>
                      <w:lang w:val="es-PE"/>
                    </w:rPr>
                    <w:t>419</w:t>
                  </w:r>
                </w:p>
              </w:tc>
              <w:tc>
                <w:tcPr>
                  <w:tcW w:w="1571" w:type="dxa"/>
                  <w:tcBorders>
                    <w:top w:val="nil"/>
                    <w:left w:val="nil"/>
                    <w:bottom w:val="nil"/>
                    <w:right w:val="nil"/>
                  </w:tcBorders>
                  <w:shd w:val="clear" w:color="auto" w:fill="auto"/>
                  <w:vAlign w:val="center"/>
                  <w:hideMark/>
                </w:tcPr>
                <w:p w14:paraId="26E3A922" w14:textId="26607E74" w:rsidR="007A59FB" w:rsidRPr="00CB6F86" w:rsidRDefault="00357368" w:rsidP="007A59FB">
                  <w:pPr>
                    <w:jc w:val="center"/>
                    <w:rPr>
                      <w:rFonts w:eastAsia="Times New Roman"/>
                      <w:color w:val="000000"/>
                      <w:lang w:val="en-US"/>
                    </w:rPr>
                  </w:pPr>
                  <w:r>
                    <w:rPr>
                      <w:rFonts w:eastAsia="Times New Roman"/>
                      <w:color w:val="000000"/>
                      <w:lang w:val="es-PE"/>
                    </w:rPr>
                    <w:t>32.</w:t>
                  </w:r>
                  <w:r w:rsidR="007A59FB" w:rsidRPr="00CB6F86">
                    <w:rPr>
                      <w:rFonts w:eastAsia="Times New Roman"/>
                      <w:color w:val="000000"/>
                      <w:lang w:val="es-PE"/>
                    </w:rPr>
                    <w:t>423</w:t>
                  </w:r>
                </w:p>
              </w:tc>
              <w:tc>
                <w:tcPr>
                  <w:tcW w:w="1311" w:type="dxa"/>
                  <w:tcBorders>
                    <w:top w:val="nil"/>
                    <w:left w:val="nil"/>
                    <w:bottom w:val="nil"/>
                    <w:right w:val="nil"/>
                  </w:tcBorders>
                  <w:shd w:val="clear" w:color="auto" w:fill="auto"/>
                  <w:vAlign w:val="center"/>
                  <w:hideMark/>
                </w:tcPr>
                <w:p w14:paraId="06DC37B9" w14:textId="2A3F51E2" w:rsidR="007A59FB" w:rsidRPr="00CB6F86" w:rsidRDefault="00357368" w:rsidP="007A59FB">
                  <w:pPr>
                    <w:jc w:val="center"/>
                    <w:rPr>
                      <w:rFonts w:eastAsia="Times New Roman"/>
                      <w:color w:val="000000"/>
                      <w:lang w:val="en-US"/>
                    </w:rPr>
                  </w:pPr>
                  <w:r>
                    <w:rPr>
                      <w:rFonts w:eastAsia="Times New Roman"/>
                      <w:color w:val="000000"/>
                      <w:lang w:val="es-PE"/>
                    </w:rPr>
                    <w:t>-1.</w:t>
                  </w:r>
                  <w:r w:rsidR="007A59FB" w:rsidRPr="00CB6F86">
                    <w:rPr>
                      <w:rFonts w:eastAsia="Times New Roman"/>
                      <w:color w:val="000000"/>
                      <w:lang w:val="es-PE"/>
                    </w:rPr>
                    <w:t>123</w:t>
                  </w:r>
                </w:p>
              </w:tc>
              <w:tc>
                <w:tcPr>
                  <w:tcW w:w="1712" w:type="dxa"/>
                  <w:tcBorders>
                    <w:top w:val="nil"/>
                    <w:left w:val="nil"/>
                    <w:bottom w:val="nil"/>
                    <w:right w:val="nil"/>
                  </w:tcBorders>
                  <w:shd w:val="clear" w:color="auto" w:fill="auto"/>
                  <w:vAlign w:val="center"/>
                  <w:hideMark/>
                </w:tcPr>
                <w:p w14:paraId="49527ACA" w14:textId="315268E6" w:rsidR="007A59FB" w:rsidRPr="00CB6F86" w:rsidRDefault="00357368" w:rsidP="007A59FB">
                  <w:pPr>
                    <w:jc w:val="center"/>
                    <w:rPr>
                      <w:rFonts w:eastAsia="Times New Roman"/>
                      <w:color w:val="000000"/>
                      <w:lang w:val="en-US"/>
                    </w:rPr>
                  </w:pPr>
                  <w:r>
                    <w:rPr>
                      <w:rFonts w:eastAsia="Times New Roman"/>
                      <w:color w:val="000000"/>
                      <w:lang w:val="es-PE"/>
                    </w:rPr>
                    <w:t>-0,</w:t>
                  </w:r>
                  <w:r w:rsidR="007A59FB" w:rsidRPr="00CB6F86">
                    <w:rPr>
                      <w:rFonts w:eastAsia="Times New Roman"/>
                      <w:color w:val="000000"/>
                      <w:lang w:val="es-PE"/>
                    </w:rPr>
                    <w:t>4%</w:t>
                  </w:r>
                </w:p>
              </w:tc>
            </w:tr>
            <w:tr w:rsidR="007A59FB" w:rsidRPr="00CB6F86" w14:paraId="52ECDAA2" w14:textId="77777777" w:rsidTr="002C7444">
              <w:trPr>
                <w:trHeight w:val="278"/>
                <w:jc w:val="center"/>
              </w:trPr>
              <w:tc>
                <w:tcPr>
                  <w:tcW w:w="820" w:type="dxa"/>
                  <w:tcBorders>
                    <w:top w:val="nil"/>
                    <w:left w:val="nil"/>
                    <w:bottom w:val="nil"/>
                    <w:right w:val="nil"/>
                  </w:tcBorders>
                  <w:shd w:val="clear" w:color="auto" w:fill="auto"/>
                  <w:noWrap/>
                  <w:vAlign w:val="center"/>
                  <w:hideMark/>
                </w:tcPr>
                <w:p w14:paraId="5CC8A265"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2013</w:t>
                  </w:r>
                </w:p>
              </w:tc>
              <w:tc>
                <w:tcPr>
                  <w:tcW w:w="1106" w:type="dxa"/>
                  <w:tcBorders>
                    <w:top w:val="nil"/>
                    <w:left w:val="nil"/>
                    <w:bottom w:val="nil"/>
                    <w:right w:val="nil"/>
                  </w:tcBorders>
                  <w:shd w:val="clear" w:color="auto" w:fill="auto"/>
                  <w:noWrap/>
                  <w:vAlign w:val="center"/>
                  <w:hideMark/>
                </w:tcPr>
                <w:p w14:paraId="180ADDBA" w14:textId="09392C2E" w:rsidR="007A59FB" w:rsidRPr="00CB6F86" w:rsidRDefault="00357368" w:rsidP="007A59FB">
                  <w:pPr>
                    <w:jc w:val="center"/>
                    <w:rPr>
                      <w:rFonts w:eastAsia="Times New Roman"/>
                      <w:color w:val="000000"/>
                      <w:lang w:val="en-US"/>
                    </w:rPr>
                  </w:pPr>
                  <w:r>
                    <w:rPr>
                      <w:rFonts w:eastAsia="Times New Roman"/>
                      <w:color w:val="000000"/>
                      <w:lang w:val="es-PE"/>
                    </w:rPr>
                    <w:t>15.</w:t>
                  </w:r>
                  <w:r w:rsidR="007A59FB" w:rsidRPr="00CB6F86">
                    <w:rPr>
                      <w:rFonts w:eastAsia="Times New Roman"/>
                      <w:color w:val="000000"/>
                      <w:lang w:val="es-PE"/>
                    </w:rPr>
                    <w:t>419</w:t>
                  </w:r>
                </w:p>
              </w:tc>
              <w:tc>
                <w:tcPr>
                  <w:tcW w:w="914" w:type="dxa"/>
                  <w:tcBorders>
                    <w:top w:val="nil"/>
                    <w:left w:val="nil"/>
                    <w:bottom w:val="nil"/>
                    <w:right w:val="nil"/>
                  </w:tcBorders>
                  <w:shd w:val="clear" w:color="auto" w:fill="auto"/>
                  <w:noWrap/>
                  <w:vAlign w:val="center"/>
                  <w:hideMark/>
                </w:tcPr>
                <w:p w14:paraId="73E8E4A9" w14:textId="3CEB5803" w:rsidR="007A59FB" w:rsidRPr="00CB6F86" w:rsidRDefault="00357368" w:rsidP="007A59FB">
                  <w:pPr>
                    <w:jc w:val="center"/>
                    <w:rPr>
                      <w:rFonts w:eastAsia="Times New Roman"/>
                      <w:color w:val="000000"/>
                      <w:lang w:val="en-US"/>
                    </w:rPr>
                  </w:pPr>
                  <w:r>
                    <w:rPr>
                      <w:rFonts w:eastAsia="Times New Roman"/>
                      <w:color w:val="000000"/>
                      <w:lang w:val="es-PE"/>
                    </w:rPr>
                    <w:t>7.</w:t>
                  </w:r>
                  <w:r w:rsidR="007A59FB" w:rsidRPr="00CB6F86">
                    <w:rPr>
                      <w:rFonts w:eastAsia="Times New Roman"/>
                      <w:color w:val="000000"/>
                      <w:lang w:val="es-PE"/>
                    </w:rPr>
                    <w:t>335</w:t>
                  </w:r>
                </w:p>
              </w:tc>
              <w:tc>
                <w:tcPr>
                  <w:tcW w:w="1611" w:type="dxa"/>
                  <w:tcBorders>
                    <w:top w:val="nil"/>
                    <w:left w:val="nil"/>
                    <w:bottom w:val="nil"/>
                    <w:right w:val="nil"/>
                  </w:tcBorders>
                  <w:shd w:val="clear" w:color="auto" w:fill="auto"/>
                  <w:vAlign w:val="center"/>
                  <w:hideMark/>
                </w:tcPr>
                <w:p w14:paraId="48991B29" w14:textId="619CE4E7" w:rsidR="007A59FB" w:rsidRPr="00CB6F86" w:rsidRDefault="002A66DD" w:rsidP="007A59FB">
                  <w:pPr>
                    <w:jc w:val="center"/>
                    <w:rPr>
                      <w:rFonts w:eastAsia="Times New Roman"/>
                      <w:color w:val="000000"/>
                      <w:lang w:val="en-US"/>
                    </w:rPr>
                  </w:pPr>
                  <w:r>
                    <w:rPr>
                      <w:rFonts w:eastAsia="Times New Roman"/>
                      <w:color w:val="000000"/>
                      <w:lang w:val="es-PE"/>
                    </w:rPr>
                    <w:t xml:space="preserve"> </w:t>
                  </w:r>
                  <w:r w:rsidR="00357368">
                    <w:rPr>
                      <w:rFonts w:eastAsia="Times New Roman"/>
                      <w:color w:val="000000"/>
                      <w:lang w:val="es-PE"/>
                    </w:rPr>
                    <w:t>7.</w:t>
                  </w:r>
                  <w:r w:rsidR="007A59FB" w:rsidRPr="00CB6F86">
                    <w:rPr>
                      <w:rFonts w:eastAsia="Times New Roman"/>
                      <w:color w:val="000000"/>
                      <w:lang w:val="es-PE"/>
                    </w:rPr>
                    <w:t>364</w:t>
                  </w:r>
                </w:p>
              </w:tc>
              <w:tc>
                <w:tcPr>
                  <w:tcW w:w="1571" w:type="dxa"/>
                  <w:tcBorders>
                    <w:top w:val="nil"/>
                    <w:left w:val="nil"/>
                    <w:bottom w:val="nil"/>
                    <w:right w:val="nil"/>
                  </w:tcBorders>
                  <w:shd w:val="clear" w:color="auto" w:fill="auto"/>
                  <w:vAlign w:val="center"/>
                  <w:hideMark/>
                </w:tcPr>
                <w:p w14:paraId="34B3BFCC" w14:textId="4FD32D39" w:rsidR="007A59FB" w:rsidRPr="00CB6F86" w:rsidRDefault="00357368" w:rsidP="007A59FB">
                  <w:pPr>
                    <w:jc w:val="center"/>
                    <w:rPr>
                      <w:rFonts w:eastAsia="Times New Roman"/>
                      <w:color w:val="000000"/>
                      <w:lang w:val="en-US"/>
                    </w:rPr>
                  </w:pPr>
                  <w:r>
                    <w:rPr>
                      <w:rFonts w:eastAsia="Times New Roman"/>
                      <w:color w:val="000000"/>
                      <w:lang w:val="es-PE"/>
                    </w:rPr>
                    <w:t>33.</w:t>
                  </w:r>
                  <w:r w:rsidR="007A59FB" w:rsidRPr="00CB6F86">
                    <w:rPr>
                      <w:rFonts w:eastAsia="Times New Roman"/>
                      <w:color w:val="000000"/>
                      <w:lang w:val="es-PE"/>
                    </w:rPr>
                    <w:t>515</w:t>
                  </w:r>
                </w:p>
              </w:tc>
              <w:tc>
                <w:tcPr>
                  <w:tcW w:w="1311" w:type="dxa"/>
                  <w:tcBorders>
                    <w:top w:val="nil"/>
                    <w:left w:val="nil"/>
                    <w:bottom w:val="nil"/>
                    <w:right w:val="nil"/>
                  </w:tcBorders>
                  <w:shd w:val="clear" w:color="auto" w:fill="auto"/>
                  <w:vAlign w:val="center"/>
                  <w:hideMark/>
                </w:tcPr>
                <w:p w14:paraId="6ED1CF05" w14:textId="430AEC68" w:rsidR="007A59FB" w:rsidRPr="00CB6F86" w:rsidRDefault="00357368" w:rsidP="007A59FB">
                  <w:pPr>
                    <w:jc w:val="center"/>
                    <w:rPr>
                      <w:rFonts w:eastAsia="Times New Roman"/>
                      <w:color w:val="000000"/>
                      <w:lang w:val="en-US"/>
                    </w:rPr>
                  </w:pPr>
                  <w:r>
                    <w:rPr>
                      <w:rFonts w:eastAsia="Times New Roman"/>
                      <w:color w:val="000000"/>
                      <w:lang w:val="es-PE"/>
                    </w:rPr>
                    <w:t>-3.</w:t>
                  </w:r>
                  <w:r w:rsidR="007A59FB" w:rsidRPr="00CB6F86">
                    <w:rPr>
                      <w:rFonts w:eastAsia="Times New Roman"/>
                      <w:color w:val="000000"/>
                      <w:lang w:val="es-PE"/>
                    </w:rPr>
                    <w:t>397</w:t>
                  </w:r>
                </w:p>
              </w:tc>
              <w:tc>
                <w:tcPr>
                  <w:tcW w:w="1712" w:type="dxa"/>
                  <w:tcBorders>
                    <w:top w:val="nil"/>
                    <w:left w:val="nil"/>
                    <w:bottom w:val="nil"/>
                    <w:right w:val="nil"/>
                  </w:tcBorders>
                  <w:shd w:val="clear" w:color="auto" w:fill="auto"/>
                  <w:vAlign w:val="center"/>
                  <w:hideMark/>
                </w:tcPr>
                <w:p w14:paraId="01FFF1D3" w14:textId="2A50D37B" w:rsidR="007A59FB" w:rsidRPr="00CB6F86" w:rsidRDefault="00357368" w:rsidP="007A59FB">
                  <w:pPr>
                    <w:jc w:val="center"/>
                    <w:rPr>
                      <w:rFonts w:eastAsia="Times New Roman"/>
                      <w:color w:val="000000"/>
                      <w:lang w:val="en-US"/>
                    </w:rPr>
                  </w:pPr>
                  <w:r>
                    <w:rPr>
                      <w:rFonts w:eastAsia="Times New Roman"/>
                      <w:color w:val="000000"/>
                      <w:lang w:val="es-PE"/>
                    </w:rPr>
                    <w:t>-1,</w:t>
                  </w:r>
                  <w:r w:rsidR="007A59FB" w:rsidRPr="00CB6F86">
                    <w:rPr>
                      <w:rFonts w:eastAsia="Times New Roman"/>
                      <w:color w:val="000000"/>
                      <w:lang w:val="es-PE"/>
                    </w:rPr>
                    <w:t>2%</w:t>
                  </w:r>
                </w:p>
              </w:tc>
            </w:tr>
            <w:tr w:rsidR="007A59FB" w:rsidRPr="00CB6F86" w14:paraId="66DC83BA" w14:textId="77777777" w:rsidTr="002C7444">
              <w:trPr>
                <w:trHeight w:val="278"/>
                <w:jc w:val="center"/>
              </w:trPr>
              <w:tc>
                <w:tcPr>
                  <w:tcW w:w="820" w:type="dxa"/>
                  <w:tcBorders>
                    <w:top w:val="nil"/>
                    <w:left w:val="nil"/>
                    <w:bottom w:val="nil"/>
                    <w:right w:val="nil"/>
                  </w:tcBorders>
                  <w:shd w:val="clear" w:color="auto" w:fill="auto"/>
                  <w:noWrap/>
                  <w:vAlign w:val="center"/>
                  <w:hideMark/>
                </w:tcPr>
                <w:p w14:paraId="638C4E6C"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2014</w:t>
                  </w:r>
                </w:p>
              </w:tc>
              <w:tc>
                <w:tcPr>
                  <w:tcW w:w="1106" w:type="dxa"/>
                  <w:tcBorders>
                    <w:top w:val="nil"/>
                    <w:left w:val="nil"/>
                    <w:bottom w:val="nil"/>
                    <w:right w:val="nil"/>
                  </w:tcBorders>
                  <w:shd w:val="clear" w:color="auto" w:fill="auto"/>
                  <w:noWrap/>
                  <w:vAlign w:val="center"/>
                  <w:hideMark/>
                </w:tcPr>
                <w:p w14:paraId="18A9605A" w14:textId="2349AE48" w:rsidR="007A59FB" w:rsidRPr="00CB6F86" w:rsidRDefault="00357368" w:rsidP="007A59FB">
                  <w:pPr>
                    <w:jc w:val="center"/>
                    <w:rPr>
                      <w:rFonts w:eastAsia="Times New Roman"/>
                      <w:color w:val="000000"/>
                      <w:lang w:val="en-US"/>
                    </w:rPr>
                  </w:pPr>
                  <w:r>
                    <w:rPr>
                      <w:rFonts w:eastAsia="Times New Roman"/>
                      <w:color w:val="000000"/>
                      <w:lang w:val="es-PE"/>
                    </w:rPr>
                    <w:t>14.</w:t>
                  </w:r>
                  <w:r w:rsidR="007A59FB" w:rsidRPr="00CB6F86">
                    <w:rPr>
                      <w:rFonts w:eastAsia="Times New Roman"/>
                      <w:color w:val="000000"/>
                      <w:lang w:val="es-PE"/>
                    </w:rPr>
                    <w:t>689</w:t>
                  </w:r>
                </w:p>
              </w:tc>
              <w:tc>
                <w:tcPr>
                  <w:tcW w:w="914" w:type="dxa"/>
                  <w:tcBorders>
                    <w:top w:val="nil"/>
                    <w:left w:val="nil"/>
                    <w:bottom w:val="nil"/>
                    <w:right w:val="nil"/>
                  </w:tcBorders>
                  <w:shd w:val="clear" w:color="auto" w:fill="auto"/>
                  <w:noWrap/>
                  <w:vAlign w:val="center"/>
                  <w:hideMark/>
                </w:tcPr>
                <w:p w14:paraId="34E20B60" w14:textId="23B9FF65" w:rsidR="007A59FB" w:rsidRPr="00CB6F86" w:rsidRDefault="00357368" w:rsidP="007A59FB">
                  <w:pPr>
                    <w:jc w:val="center"/>
                    <w:rPr>
                      <w:rFonts w:eastAsia="Times New Roman"/>
                      <w:color w:val="000000"/>
                      <w:lang w:val="en-US"/>
                    </w:rPr>
                  </w:pPr>
                  <w:r>
                    <w:rPr>
                      <w:rFonts w:eastAsia="Times New Roman"/>
                      <w:color w:val="000000"/>
                      <w:lang w:val="es-PE"/>
                    </w:rPr>
                    <w:t>7.</w:t>
                  </w:r>
                  <w:r w:rsidR="007A59FB" w:rsidRPr="00CB6F86">
                    <w:rPr>
                      <w:rFonts w:eastAsia="Times New Roman"/>
                      <w:color w:val="000000"/>
                      <w:lang w:val="es-PE"/>
                    </w:rPr>
                    <w:t>944</w:t>
                  </w:r>
                </w:p>
              </w:tc>
              <w:tc>
                <w:tcPr>
                  <w:tcW w:w="1611" w:type="dxa"/>
                  <w:tcBorders>
                    <w:top w:val="nil"/>
                    <w:left w:val="nil"/>
                    <w:bottom w:val="nil"/>
                    <w:right w:val="nil"/>
                  </w:tcBorders>
                  <w:shd w:val="clear" w:color="auto" w:fill="auto"/>
                  <w:vAlign w:val="center"/>
                  <w:hideMark/>
                </w:tcPr>
                <w:p w14:paraId="5EDB41EE" w14:textId="5B064AB5" w:rsidR="007A59FB" w:rsidRPr="00CB6F86" w:rsidRDefault="002A66DD" w:rsidP="007A59FB">
                  <w:pPr>
                    <w:jc w:val="center"/>
                    <w:rPr>
                      <w:rFonts w:eastAsia="Times New Roman"/>
                      <w:color w:val="000000"/>
                      <w:lang w:val="en-US"/>
                    </w:rPr>
                  </w:pPr>
                  <w:r>
                    <w:rPr>
                      <w:rFonts w:eastAsia="Times New Roman"/>
                      <w:color w:val="000000"/>
                      <w:lang w:val="es-PE"/>
                    </w:rPr>
                    <w:t xml:space="preserve"> </w:t>
                  </w:r>
                  <w:r w:rsidR="00357368">
                    <w:rPr>
                      <w:rFonts w:eastAsia="Times New Roman"/>
                      <w:color w:val="000000"/>
                      <w:lang w:val="es-PE"/>
                    </w:rPr>
                    <w:t>8.</w:t>
                  </w:r>
                  <w:r w:rsidR="007A59FB" w:rsidRPr="00CB6F86">
                    <w:rPr>
                      <w:rFonts w:eastAsia="Times New Roman"/>
                      <w:color w:val="000000"/>
                      <w:lang w:val="es-PE"/>
                    </w:rPr>
                    <w:t>527</w:t>
                  </w:r>
                </w:p>
              </w:tc>
              <w:tc>
                <w:tcPr>
                  <w:tcW w:w="1571" w:type="dxa"/>
                  <w:tcBorders>
                    <w:top w:val="nil"/>
                    <w:left w:val="nil"/>
                    <w:bottom w:val="nil"/>
                    <w:right w:val="nil"/>
                  </w:tcBorders>
                  <w:shd w:val="clear" w:color="auto" w:fill="auto"/>
                  <w:vAlign w:val="center"/>
                  <w:hideMark/>
                </w:tcPr>
                <w:p w14:paraId="1C7D426C" w14:textId="45118930" w:rsidR="007A59FB" w:rsidRPr="00CB6F86" w:rsidRDefault="00357368" w:rsidP="007A59FB">
                  <w:pPr>
                    <w:jc w:val="center"/>
                    <w:rPr>
                      <w:rFonts w:eastAsia="Times New Roman"/>
                      <w:color w:val="000000"/>
                      <w:lang w:val="en-US"/>
                    </w:rPr>
                  </w:pPr>
                  <w:r>
                    <w:rPr>
                      <w:rFonts w:eastAsia="Times New Roman"/>
                      <w:color w:val="000000"/>
                      <w:lang w:val="es-PE"/>
                    </w:rPr>
                    <w:t>36.</w:t>
                  </w:r>
                  <w:r w:rsidR="007A59FB" w:rsidRPr="00CB6F86">
                    <w:rPr>
                      <w:rFonts w:eastAsia="Times New Roman"/>
                      <w:color w:val="000000"/>
                      <w:lang w:val="es-PE"/>
                    </w:rPr>
                    <w:t>587</w:t>
                  </w:r>
                </w:p>
              </w:tc>
              <w:tc>
                <w:tcPr>
                  <w:tcW w:w="1311" w:type="dxa"/>
                  <w:tcBorders>
                    <w:top w:val="nil"/>
                    <w:left w:val="nil"/>
                    <w:bottom w:val="nil"/>
                    <w:right w:val="nil"/>
                  </w:tcBorders>
                  <w:shd w:val="clear" w:color="auto" w:fill="auto"/>
                  <w:vAlign w:val="center"/>
                  <w:hideMark/>
                </w:tcPr>
                <w:p w14:paraId="0C69DF7C" w14:textId="728BFDE8" w:rsidR="007A59FB" w:rsidRPr="00CB6F86" w:rsidRDefault="00357368" w:rsidP="007A59FB">
                  <w:pPr>
                    <w:jc w:val="center"/>
                    <w:rPr>
                      <w:rFonts w:eastAsia="Times New Roman"/>
                      <w:color w:val="000000"/>
                      <w:lang w:val="en-US"/>
                    </w:rPr>
                  </w:pPr>
                  <w:r>
                    <w:rPr>
                      <w:rFonts w:eastAsia="Times New Roman"/>
                      <w:color w:val="000000"/>
                      <w:lang w:val="es-PE"/>
                    </w:rPr>
                    <w:t>-5.</w:t>
                  </w:r>
                  <w:r w:rsidR="007A59FB" w:rsidRPr="00CB6F86">
                    <w:rPr>
                      <w:rFonts w:eastAsia="Times New Roman"/>
                      <w:color w:val="000000"/>
                      <w:lang w:val="es-PE"/>
                    </w:rPr>
                    <w:t>427</w:t>
                  </w:r>
                </w:p>
              </w:tc>
              <w:tc>
                <w:tcPr>
                  <w:tcW w:w="1712" w:type="dxa"/>
                  <w:tcBorders>
                    <w:top w:val="nil"/>
                    <w:left w:val="nil"/>
                    <w:bottom w:val="nil"/>
                    <w:right w:val="nil"/>
                  </w:tcBorders>
                  <w:shd w:val="clear" w:color="auto" w:fill="auto"/>
                  <w:vAlign w:val="center"/>
                  <w:hideMark/>
                </w:tcPr>
                <w:p w14:paraId="54AF5F01" w14:textId="6A1D73DC" w:rsidR="007A59FB" w:rsidRPr="00CB6F86" w:rsidRDefault="00357368" w:rsidP="007A59FB">
                  <w:pPr>
                    <w:jc w:val="center"/>
                    <w:rPr>
                      <w:rFonts w:eastAsia="Times New Roman"/>
                      <w:color w:val="000000"/>
                      <w:lang w:val="en-US"/>
                    </w:rPr>
                  </w:pPr>
                  <w:r>
                    <w:rPr>
                      <w:rFonts w:eastAsia="Times New Roman"/>
                      <w:color w:val="000000"/>
                      <w:lang w:val="es-PE"/>
                    </w:rPr>
                    <w:t>-2,</w:t>
                  </w:r>
                  <w:r w:rsidR="007A59FB" w:rsidRPr="00CB6F86">
                    <w:rPr>
                      <w:rFonts w:eastAsia="Times New Roman"/>
                      <w:color w:val="000000"/>
                      <w:lang w:val="es-PE"/>
                    </w:rPr>
                    <w:t>1%</w:t>
                  </w:r>
                </w:p>
              </w:tc>
            </w:tr>
            <w:tr w:rsidR="007A59FB" w:rsidRPr="00CB6F86" w14:paraId="410B70B6" w14:textId="77777777" w:rsidTr="002C7444">
              <w:trPr>
                <w:trHeight w:val="292"/>
                <w:jc w:val="center"/>
              </w:trPr>
              <w:tc>
                <w:tcPr>
                  <w:tcW w:w="820" w:type="dxa"/>
                  <w:tcBorders>
                    <w:top w:val="nil"/>
                    <w:left w:val="nil"/>
                    <w:bottom w:val="single" w:sz="8" w:space="0" w:color="auto"/>
                    <w:right w:val="nil"/>
                  </w:tcBorders>
                  <w:shd w:val="clear" w:color="auto" w:fill="auto"/>
                  <w:noWrap/>
                  <w:vAlign w:val="center"/>
                  <w:hideMark/>
                </w:tcPr>
                <w:p w14:paraId="34B652A8"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2015</w:t>
                  </w:r>
                </w:p>
              </w:tc>
              <w:tc>
                <w:tcPr>
                  <w:tcW w:w="1106" w:type="dxa"/>
                  <w:tcBorders>
                    <w:top w:val="nil"/>
                    <w:left w:val="nil"/>
                    <w:bottom w:val="single" w:sz="8" w:space="0" w:color="auto"/>
                    <w:right w:val="nil"/>
                  </w:tcBorders>
                  <w:shd w:val="clear" w:color="auto" w:fill="auto"/>
                  <w:noWrap/>
                  <w:vAlign w:val="center"/>
                  <w:hideMark/>
                </w:tcPr>
                <w:p w14:paraId="518DD9F0" w14:textId="5DA78735" w:rsidR="007A59FB" w:rsidRPr="00CB6F86" w:rsidRDefault="00357368" w:rsidP="007A59FB">
                  <w:pPr>
                    <w:jc w:val="center"/>
                    <w:rPr>
                      <w:rFonts w:eastAsia="Times New Roman"/>
                      <w:color w:val="000000"/>
                      <w:lang w:val="en-US"/>
                    </w:rPr>
                  </w:pPr>
                  <w:r>
                    <w:rPr>
                      <w:rFonts w:eastAsia="Times New Roman"/>
                      <w:color w:val="000000"/>
                      <w:lang w:val="es-PE"/>
                    </w:rPr>
                    <w:t>13.</w:t>
                  </w:r>
                  <w:r w:rsidR="007A59FB" w:rsidRPr="00CB6F86">
                    <w:rPr>
                      <w:rFonts w:eastAsia="Times New Roman"/>
                      <w:color w:val="000000"/>
                      <w:lang w:val="es-PE"/>
                    </w:rPr>
                    <w:t>966</w:t>
                  </w:r>
                </w:p>
              </w:tc>
              <w:tc>
                <w:tcPr>
                  <w:tcW w:w="914" w:type="dxa"/>
                  <w:tcBorders>
                    <w:top w:val="nil"/>
                    <w:left w:val="nil"/>
                    <w:bottom w:val="single" w:sz="8" w:space="0" w:color="auto"/>
                    <w:right w:val="nil"/>
                  </w:tcBorders>
                  <w:shd w:val="clear" w:color="auto" w:fill="auto"/>
                  <w:noWrap/>
                  <w:vAlign w:val="center"/>
                  <w:hideMark/>
                </w:tcPr>
                <w:p w14:paraId="49EE9D09" w14:textId="39118C53" w:rsidR="007A59FB" w:rsidRPr="00CB6F86" w:rsidRDefault="00357368" w:rsidP="007A59FB">
                  <w:pPr>
                    <w:jc w:val="center"/>
                    <w:rPr>
                      <w:rFonts w:eastAsia="Times New Roman"/>
                      <w:color w:val="000000"/>
                      <w:lang w:val="en-US"/>
                    </w:rPr>
                  </w:pPr>
                  <w:r>
                    <w:rPr>
                      <w:rFonts w:eastAsia="Times New Roman"/>
                      <w:color w:val="000000"/>
                      <w:lang w:val="es-PE"/>
                    </w:rPr>
                    <w:t>8.</w:t>
                  </w:r>
                  <w:r w:rsidR="007A59FB" w:rsidRPr="00CB6F86">
                    <w:rPr>
                      <w:rFonts w:eastAsia="Times New Roman"/>
                      <w:color w:val="000000"/>
                      <w:lang w:val="es-PE"/>
                    </w:rPr>
                    <w:t>112</w:t>
                  </w:r>
                </w:p>
              </w:tc>
              <w:tc>
                <w:tcPr>
                  <w:tcW w:w="1611" w:type="dxa"/>
                  <w:tcBorders>
                    <w:top w:val="nil"/>
                    <w:left w:val="nil"/>
                    <w:bottom w:val="single" w:sz="8" w:space="0" w:color="auto"/>
                    <w:right w:val="nil"/>
                  </w:tcBorders>
                  <w:shd w:val="clear" w:color="auto" w:fill="auto"/>
                  <w:vAlign w:val="center"/>
                  <w:hideMark/>
                </w:tcPr>
                <w:p w14:paraId="620B3BBB" w14:textId="1B6CE4F6" w:rsidR="007A59FB" w:rsidRPr="00CB6F86" w:rsidRDefault="002A66DD" w:rsidP="007A59FB">
                  <w:pPr>
                    <w:jc w:val="center"/>
                    <w:rPr>
                      <w:rFonts w:eastAsia="Times New Roman"/>
                      <w:color w:val="000000"/>
                      <w:lang w:val="en-US"/>
                    </w:rPr>
                  </w:pPr>
                  <w:r>
                    <w:rPr>
                      <w:rFonts w:eastAsia="Times New Roman"/>
                      <w:color w:val="000000"/>
                      <w:lang w:val="es-PE"/>
                    </w:rPr>
                    <w:t xml:space="preserve"> </w:t>
                  </w:r>
                  <w:r w:rsidR="00357368">
                    <w:rPr>
                      <w:rFonts w:eastAsia="Times New Roman"/>
                      <w:color w:val="000000"/>
                      <w:lang w:val="es-PE"/>
                    </w:rPr>
                    <w:t>5.</w:t>
                  </w:r>
                  <w:r w:rsidR="007A59FB" w:rsidRPr="00CB6F86">
                    <w:rPr>
                      <w:rFonts w:eastAsia="Times New Roman"/>
                      <w:color w:val="000000"/>
                      <w:lang w:val="es-PE"/>
                    </w:rPr>
                    <w:t>5</w:t>
                  </w:r>
                  <w:r w:rsidR="00BC0EBE">
                    <w:rPr>
                      <w:rFonts w:eastAsia="Times New Roman"/>
                      <w:color w:val="000000"/>
                      <w:lang w:val="es-PE"/>
                    </w:rPr>
                    <w:t>00</w:t>
                  </w:r>
                </w:p>
              </w:tc>
              <w:tc>
                <w:tcPr>
                  <w:tcW w:w="1571" w:type="dxa"/>
                  <w:tcBorders>
                    <w:top w:val="nil"/>
                    <w:left w:val="nil"/>
                    <w:bottom w:val="single" w:sz="8" w:space="0" w:color="auto"/>
                    <w:right w:val="nil"/>
                  </w:tcBorders>
                  <w:shd w:val="clear" w:color="auto" w:fill="auto"/>
                  <w:vAlign w:val="center"/>
                  <w:hideMark/>
                </w:tcPr>
                <w:p w14:paraId="63FF707D" w14:textId="50C27041" w:rsidR="007A59FB" w:rsidRPr="00CB6F86" w:rsidRDefault="00357368" w:rsidP="007A59FB">
                  <w:pPr>
                    <w:jc w:val="center"/>
                    <w:rPr>
                      <w:rFonts w:eastAsia="Times New Roman"/>
                      <w:color w:val="000000"/>
                      <w:lang w:val="en-US"/>
                    </w:rPr>
                  </w:pPr>
                  <w:r>
                    <w:rPr>
                      <w:rFonts w:eastAsia="Times New Roman"/>
                      <w:color w:val="000000"/>
                      <w:lang w:val="es-PE"/>
                    </w:rPr>
                    <w:t>38.</w:t>
                  </w:r>
                  <w:r w:rsidR="007A59FB" w:rsidRPr="00CB6F86">
                    <w:rPr>
                      <w:rFonts w:eastAsia="Times New Roman"/>
                      <w:color w:val="000000"/>
                      <w:lang w:val="es-PE"/>
                    </w:rPr>
                    <w:t>963</w:t>
                  </w:r>
                </w:p>
              </w:tc>
              <w:tc>
                <w:tcPr>
                  <w:tcW w:w="1311" w:type="dxa"/>
                  <w:tcBorders>
                    <w:top w:val="nil"/>
                    <w:left w:val="nil"/>
                    <w:bottom w:val="single" w:sz="8" w:space="0" w:color="auto"/>
                    <w:right w:val="nil"/>
                  </w:tcBorders>
                  <w:shd w:val="clear" w:color="auto" w:fill="auto"/>
                  <w:vAlign w:val="center"/>
                  <w:hideMark/>
                </w:tcPr>
                <w:p w14:paraId="598B5967" w14:textId="202195C3" w:rsidR="007A59FB" w:rsidRPr="00CB6F86" w:rsidRDefault="00BC0EBE" w:rsidP="00973704">
                  <w:pPr>
                    <w:rPr>
                      <w:rFonts w:eastAsia="Times New Roman"/>
                      <w:color w:val="000000"/>
                      <w:lang w:val="en-US"/>
                    </w:rPr>
                  </w:pPr>
                  <w:r>
                    <w:rPr>
                      <w:rFonts w:eastAsia="Times New Roman"/>
                      <w:color w:val="000000"/>
                      <w:lang w:val="es-PE"/>
                    </w:rPr>
                    <w:t xml:space="preserve">     </w:t>
                  </w:r>
                  <w:r w:rsidR="00357368">
                    <w:rPr>
                      <w:rFonts w:eastAsia="Times New Roman"/>
                      <w:color w:val="000000"/>
                      <w:lang w:val="es-PE"/>
                    </w:rPr>
                    <w:t>-11.</w:t>
                  </w:r>
                  <w:r w:rsidR="007A59FB" w:rsidRPr="00CB6F86">
                    <w:rPr>
                      <w:rFonts w:eastAsia="Times New Roman"/>
                      <w:color w:val="000000"/>
                      <w:lang w:val="es-PE"/>
                    </w:rPr>
                    <w:t>385</w:t>
                  </w:r>
                </w:p>
              </w:tc>
              <w:tc>
                <w:tcPr>
                  <w:tcW w:w="1712" w:type="dxa"/>
                  <w:tcBorders>
                    <w:top w:val="nil"/>
                    <w:left w:val="nil"/>
                    <w:bottom w:val="single" w:sz="8" w:space="0" w:color="auto"/>
                    <w:right w:val="nil"/>
                  </w:tcBorders>
                  <w:shd w:val="clear" w:color="auto" w:fill="auto"/>
                  <w:vAlign w:val="center"/>
                  <w:hideMark/>
                </w:tcPr>
                <w:p w14:paraId="51F1B722" w14:textId="29AC3F86" w:rsidR="007A59FB" w:rsidRPr="00CB6F86" w:rsidRDefault="00357368" w:rsidP="007A59FB">
                  <w:pPr>
                    <w:jc w:val="center"/>
                    <w:rPr>
                      <w:rFonts w:eastAsia="Times New Roman"/>
                      <w:color w:val="000000"/>
                      <w:lang w:val="en-US"/>
                    </w:rPr>
                  </w:pPr>
                  <w:r>
                    <w:rPr>
                      <w:rFonts w:eastAsia="Times New Roman"/>
                      <w:color w:val="000000"/>
                      <w:lang w:val="es-PE"/>
                    </w:rPr>
                    <w:t>-4,</w:t>
                  </w:r>
                  <w:r w:rsidR="007A59FB" w:rsidRPr="00CB6F86">
                    <w:rPr>
                      <w:rFonts w:eastAsia="Times New Roman"/>
                      <w:color w:val="000000"/>
                      <w:lang w:val="es-PE"/>
                    </w:rPr>
                    <w:t>7%</w:t>
                  </w:r>
                </w:p>
              </w:tc>
            </w:tr>
            <w:tr w:rsidR="007A59FB" w:rsidRPr="00CB6F86" w14:paraId="02E6E636" w14:textId="77777777" w:rsidTr="002C7444">
              <w:trPr>
                <w:trHeight w:val="278"/>
                <w:jc w:val="center"/>
              </w:trPr>
              <w:tc>
                <w:tcPr>
                  <w:tcW w:w="9045" w:type="dxa"/>
                  <w:gridSpan w:val="7"/>
                  <w:tcBorders>
                    <w:top w:val="single" w:sz="8" w:space="0" w:color="auto"/>
                    <w:left w:val="nil"/>
                    <w:bottom w:val="nil"/>
                    <w:right w:val="nil"/>
                  </w:tcBorders>
                  <w:shd w:val="clear" w:color="auto" w:fill="auto"/>
                  <w:noWrap/>
                  <w:vAlign w:val="center"/>
                  <w:hideMark/>
                </w:tcPr>
                <w:p w14:paraId="6EEFDC64" w14:textId="77777777" w:rsidR="007A59FB" w:rsidRPr="00CB6F86" w:rsidRDefault="007A59FB" w:rsidP="007A59FB">
                  <w:pPr>
                    <w:rPr>
                      <w:rFonts w:eastAsia="Times New Roman"/>
                      <w:b/>
                      <w:bCs/>
                      <w:color w:val="000000"/>
                      <w:lang w:val="es-CL"/>
                    </w:rPr>
                  </w:pPr>
                  <w:r w:rsidRPr="00CB6F86">
                    <w:rPr>
                      <w:rFonts w:eastAsia="Times New Roman"/>
                      <w:b/>
                      <w:bCs/>
                      <w:color w:val="000000"/>
                      <w:lang w:val="es-PE"/>
                    </w:rPr>
                    <w:t>Fuente:</w:t>
                  </w:r>
                  <w:r w:rsidRPr="00CB6F86">
                    <w:rPr>
                      <w:rFonts w:eastAsia="Times New Roman"/>
                      <w:color w:val="000000"/>
                      <w:lang w:val="es-PE"/>
                    </w:rPr>
                    <w:t xml:space="preserve"> DIPRES y Banco Central.</w:t>
                  </w:r>
                </w:p>
              </w:tc>
            </w:tr>
            <w:tr w:rsidR="007A59FB" w:rsidRPr="00CB6F86" w14:paraId="61BEB50C" w14:textId="77777777" w:rsidTr="002C7444">
              <w:trPr>
                <w:trHeight w:val="671"/>
                <w:jc w:val="center"/>
              </w:trPr>
              <w:tc>
                <w:tcPr>
                  <w:tcW w:w="9045" w:type="dxa"/>
                  <w:gridSpan w:val="7"/>
                  <w:vMerge w:val="restart"/>
                  <w:tcBorders>
                    <w:top w:val="nil"/>
                    <w:left w:val="nil"/>
                    <w:bottom w:val="nil"/>
                    <w:right w:val="nil"/>
                  </w:tcBorders>
                  <w:shd w:val="clear" w:color="auto" w:fill="auto"/>
                  <w:vAlign w:val="center"/>
                  <w:hideMark/>
                </w:tcPr>
                <w:p w14:paraId="6F1A5F16" w14:textId="77777777" w:rsidR="007A59FB" w:rsidRPr="00CB6F86" w:rsidRDefault="007A59FB" w:rsidP="007A59FB">
                  <w:pPr>
                    <w:jc w:val="both"/>
                    <w:rPr>
                      <w:rFonts w:eastAsia="Times New Roman"/>
                      <w:b/>
                      <w:bCs/>
                      <w:color w:val="000000"/>
                      <w:lang w:val="es-CL"/>
                    </w:rPr>
                  </w:pPr>
                  <w:r w:rsidRPr="00CB6F86">
                    <w:rPr>
                      <w:rFonts w:eastAsia="Times New Roman"/>
                      <w:b/>
                      <w:bCs/>
                      <w:color w:val="000000"/>
                      <w:lang w:val="es-PE"/>
                    </w:rPr>
                    <w:t>Notas:</w:t>
                  </w:r>
                  <w:r w:rsidRPr="00CB6F86">
                    <w:rPr>
                      <w:rFonts w:eastAsia="Times New Roman"/>
                      <w:color w:val="000000"/>
                      <w:lang w:val="es-PE"/>
                    </w:rPr>
                    <w:t xml:space="preserve"> Los activos y pasivos consolidados de la Tesorería Nacional al final de cada período. Col. (1) Fondo de Estabilización Social y Económica (FEES); col. (2) Fondo de Reserva de Pensiones (FRP). Col. 3 no incluye participación de la Tesorería en el capital de las empresas privadas que el Banco Central incluye como activos fiscales. Col. (5) muestra el balance neto de activos y pasivos (5)=(1+2+3-4); Col. (6) es la columna (5) como porcentaje de PBI del año respectivo; el PBI en US$ corresponde a la serie a precios corrientes,  referencia 2008, dividida por la tasa de cambio nominal promedio para cada año. Aproximadamente 4/5 de los pasivos son con el mercado interno. Agradezco la colaboración de Nicole Favreau.</w:t>
                  </w:r>
                </w:p>
              </w:tc>
            </w:tr>
            <w:tr w:rsidR="007A59FB" w:rsidRPr="00CB6F86" w14:paraId="31622176" w14:textId="77777777" w:rsidTr="002C7444">
              <w:trPr>
                <w:trHeight w:val="464"/>
                <w:jc w:val="center"/>
              </w:trPr>
              <w:tc>
                <w:tcPr>
                  <w:tcW w:w="9045" w:type="dxa"/>
                  <w:gridSpan w:val="7"/>
                  <w:vMerge/>
                  <w:tcBorders>
                    <w:top w:val="nil"/>
                    <w:left w:val="nil"/>
                    <w:bottom w:val="nil"/>
                    <w:right w:val="nil"/>
                  </w:tcBorders>
                  <w:vAlign w:val="center"/>
                  <w:hideMark/>
                </w:tcPr>
                <w:p w14:paraId="6C34670C" w14:textId="77777777" w:rsidR="007A59FB" w:rsidRPr="00CB6F86" w:rsidRDefault="007A59FB" w:rsidP="007A59FB">
                  <w:pPr>
                    <w:rPr>
                      <w:rFonts w:eastAsia="Times New Roman"/>
                      <w:b/>
                      <w:bCs/>
                      <w:color w:val="000000"/>
                      <w:lang w:val="es-CL"/>
                    </w:rPr>
                  </w:pPr>
                </w:p>
              </w:tc>
            </w:tr>
          </w:tbl>
          <w:p w14:paraId="755313B2" w14:textId="77777777" w:rsidR="003A3BF0" w:rsidRDefault="003A3BF0" w:rsidP="007A59FB">
            <w:pPr>
              <w:rPr>
                <w:lang w:val="es-CL"/>
              </w:rPr>
            </w:pPr>
          </w:p>
          <w:p w14:paraId="0F277B25" w14:textId="77777777" w:rsidR="003A3BF0" w:rsidRDefault="003A3BF0" w:rsidP="007A59FB">
            <w:pPr>
              <w:rPr>
                <w:lang w:val="es-CL"/>
              </w:rPr>
            </w:pPr>
          </w:p>
          <w:p w14:paraId="78ABE812" w14:textId="77777777" w:rsidR="003A3BF0" w:rsidRDefault="003A3BF0" w:rsidP="007A59FB">
            <w:pPr>
              <w:rPr>
                <w:lang w:val="es-CL"/>
              </w:rPr>
            </w:pPr>
          </w:p>
          <w:p w14:paraId="75F2EC21" w14:textId="77777777" w:rsidR="003A3BF0" w:rsidRPr="00CB6F86" w:rsidRDefault="003A3BF0" w:rsidP="007A59FB">
            <w:pPr>
              <w:rPr>
                <w:lang w:val="es-CL"/>
              </w:rPr>
            </w:pPr>
          </w:p>
          <w:tbl>
            <w:tblPr>
              <w:tblW w:w="10420" w:type="dxa"/>
              <w:tblLook w:val="04A0" w:firstRow="1" w:lastRow="0" w:firstColumn="1" w:lastColumn="0" w:noHBand="0" w:noVBand="1"/>
            </w:tblPr>
            <w:tblGrid>
              <w:gridCol w:w="2490"/>
              <w:gridCol w:w="785"/>
              <w:gridCol w:w="784"/>
              <w:gridCol w:w="785"/>
              <w:gridCol w:w="914"/>
              <w:gridCol w:w="1555"/>
              <w:gridCol w:w="914"/>
              <w:gridCol w:w="914"/>
              <w:gridCol w:w="1272"/>
              <w:gridCol w:w="7"/>
            </w:tblGrid>
            <w:tr w:rsidR="007A59FB" w:rsidRPr="00CB6F86" w14:paraId="47406599" w14:textId="77777777" w:rsidTr="002C7444">
              <w:trPr>
                <w:trHeight w:val="292"/>
              </w:trPr>
              <w:tc>
                <w:tcPr>
                  <w:tcW w:w="10420" w:type="dxa"/>
                  <w:gridSpan w:val="10"/>
                  <w:tcBorders>
                    <w:top w:val="nil"/>
                    <w:left w:val="nil"/>
                    <w:bottom w:val="nil"/>
                    <w:right w:val="nil"/>
                  </w:tcBorders>
                  <w:shd w:val="clear" w:color="auto" w:fill="auto"/>
                  <w:noWrap/>
                  <w:vAlign w:val="center"/>
                  <w:hideMark/>
                </w:tcPr>
                <w:p w14:paraId="50437731" w14:textId="126D54A0" w:rsidR="007A59FB" w:rsidRPr="00CB6F86" w:rsidRDefault="00ED7230" w:rsidP="00ED7230">
                  <w:pPr>
                    <w:jc w:val="center"/>
                    <w:rPr>
                      <w:rFonts w:eastAsia="Times New Roman"/>
                      <w:b/>
                      <w:bCs/>
                      <w:color w:val="000000"/>
                      <w:sz w:val="24"/>
                      <w:szCs w:val="24"/>
                      <w:lang w:val="en-US"/>
                    </w:rPr>
                  </w:pPr>
                  <w:r>
                    <w:rPr>
                      <w:rFonts w:eastAsia="Times New Roman"/>
                      <w:b/>
                      <w:bCs/>
                      <w:color w:val="000000"/>
                      <w:sz w:val="24"/>
                      <w:szCs w:val="24"/>
                      <w:lang w:val="es-PE"/>
                    </w:rPr>
                    <w:t>Cuadro</w:t>
                  </w:r>
                  <w:r w:rsidR="007A59FB" w:rsidRPr="00CB6F86">
                    <w:rPr>
                      <w:rFonts w:eastAsia="Times New Roman"/>
                      <w:b/>
                      <w:bCs/>
                      <w:color w:val="000000"/>
                      <w:sz w:val="24"/>
                      <w:szCs w:val="24"/>
                      <w:lang w:val="es-PE"/>
                    </w:rPr>
                    <w:t xml:space="preserve"> 5. Desequilibrio comercial acumulado, 2008-2015</w:t>
                  </w:r>
                </w:p>
              </w:tc>
            </w:tr>
            <w:tr w:rsidR="007A59FB" w:rsidRPr="00CB6F86" w14:paraId="1C200BEB" w14:textId="77777777" w:rsidTr="002C7444">
              <w:trPr>
                <w:trHeight w:val="292"/>
              </w:trPr>
              <w:tc>
                <w:tcPr>
                  <w:tcW w:w="10420" w:type="dxa"/>
                  <w:gridSpan w:val="10"/>
                  <w:tcBorders>
                    <w:top w:val="nil"/>
                    <w:left w:val="nil"/>
                    <w:bottom w:val="single" w:sz="8" w:space="0" w:color="auto"/>
                    <w:right w:val="nil"/>
                  </w:tcBorders>
                  <w:shd w:val="clear" w:color="auto" w:fill="auto"/>
                  <w:noWrap/>
                  <w:vAlign w:val="center"/>
                  <w:hideMark/>
                </w:tcPr>
                <w:p w14:paraId="0C866D69" w14:textId="77777777" w:rsidR="007A59FB" w:rsidRPr="00CB6F86" w:rsidRDefault="007A59FB" w:rsidP="007A59FB">
                  <w:pPr>
                    <w:jc w:val="center"/>
                    <w:rPr>
                      <w:rFonts w:eastAsia="Times New Roman"/>
                      <w:color w:val="000000"/>
                      <w:lang w:val="es-CL"/>
                    </w:rPr>
                  </w:pPr>
                  <w:r w:rsidRPr="00CB6F86">
                    <w:rPr>
                      <w:rFonts w:eastAsia="Times New Roman"/>
                      <w:color w:val="000000"/>
                      <w:lang w:val="es-PE"/>
                    </w:rPr>
                    <w:t>(índices 2007=100 y % de PBI a precios corrientes; cambios % anuales promedio)</w:t>
                  </w:r>
                </w:p>
              </w:tc>
            </w:tr>
            <w:tr w:rsidR="002C7444" w:rsidRPr="00CB6F86" w14:paraId="52310D52" w14:textId="77777777" w:rsidTr="002C7444">
              <w:trPr>
                <w:gridAfter w:val="1"/>
                <w:wAfter w:w="7" w:type="dxa"/>
                <w:trHeight w:val="951"/>
              </w:trPr>
              <w:tc>
                <w:tcPr>
                  <w:tcW w:w="2490" w:type="dxa"/>
                  <w:tcBorders>
                    <w:top w:val="single" w:sz="8" w:space="0" w:color="auto"/>
                    <w:left w:val="single" w:sz="8" w:space="0" w:color="auto"/>
                    <w:bottom w:val="single" w:sz="8" w:space="0" w:color="auto"/>
                    <w:right w:val="nil"/>
                  </w:tcBorders>
                  <w:shd w:val="clear" w:color="000000" w:fill="BFBFBF"/>
                  <w:noWrap/>
                  <w:vAlign w:val="center"/>
                  <w:hideMark/>
                </w:tcPr>
                <w:p w14:paraId="147607BF" w14:textId="77777777" w:rsidR="007A59FB" w:rsidRPr="00CB6F86" w:rsidRDefault="007A59FB" w:rsidP="007A59FB">
                  <w:pPr>
                    <w:rPr>
                      <w:rFonts w:eastAsia="Times New Roman"/>
                      <w:b/>
                      <w:bCs/>
                      <w:color w:val="000000"/>
                      <w:lang w:val="es-CL"/>
                    </w:rPr>
                  </w:pPr>
                  <w:r w:rsidRPr="00CB6F86">
                    <w:rPr>
                      <w:rFonts w:eastAsia="Times New Roman"/>
                      <w:b/>
                      <w:bCs/>
                      <w:color w:val="000000"/>
                      <w:lang w:val="es-PE"/>
                    </w:rPr>
                    <w:t> </w:t>
                  </w:r>
                </w:p>
              </w:tc>
              <w:tc>
                <w:tcPr>
                  <w:tcW w:w="785" w:type="dxa"/>
                  <w:tcBorders>
                    <w:top w:val="nil"/>
                    <w:left w:val="nil"/>
                    <w:bottom w:val="single" w:sz="8" w:space="0" w:color="auto"/>
                    <w:right w:val="nil"/>
                  </w:tcBorders>
                  <w:shd w:val="clear" w:color="000000" w:fill="BFBFBF"/>
                  <w:noWrap/>
                  <w:vAlign w:val="center"/>
                  <w:hideMark/>
                </w:tcPr>
                <w:p w14:paraId="0F13E7E8"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2007</w:t>
                  </w:r>
                </w:p>
              </w:tc>
              <w:tc>
                <w:tcPr>
                  <w:tcW w:w="784" w:type="dxa"/>
                  <w:tcBorders>
                    <w:top w:val="nil"/>
                    <w:left w:val="nil"/>
                    <w:bottom w:val="single" w:sz="8" w:space="0" w:color="auto"/>
                    <w:right w:val="nil"/>
                  </w:tcBorders>
                  <w:shd w:val="clear" w:color="000000" w:fill="BFBFBF"/>
                  <w:noWrap/>
                  <w:vAlign w:val="center"/>
                  <w:hideMark/>
                </w:tcPr>
                <w:p w14:paraId="09B467A2"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2008</w:t>
                  </w:r>
                </w:p>
              </w:tc>
              <w:tc>
                <w:tcPr>
                  <w:tcW w:w="785" w:type="dxa"/>
                  <w:tcBorders>
                    <w:top w:val="single" w:sz="8" w:space="0" w:color="auto"/>
                    <w:left w:val="nil"/>
                    <w:bottom w:val="single" w:sz="8" w:space="0" w:color="auto"/>
                    <w:right w:val="nil"/>
                  </w:tcBorders>
                  <w:shd w:val="clear" w:color="000000" w:fill="BFBFBF"/>
                  <w:noWrap/>
                  <w:vAlign w:val="center"/>
                  <w:hideMark/>
                </w:tcPr>
                <w:p w14:paraId="68F855BD"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2009</w:t>
                  </w:r>
                </w:p>
              </w:tc>
              <w:tc>
                <w:tcPr>
                  <w:tcW w:w="914" w:type="dxa"/>
                  <w:tcBorders>
                    <w:top w:val="single" w:sz="8" w:space="0" w:color="auto"/>
                    <w:left w:val="nil"/>
                    <w:bottom w:val="single" w:sz="8" w:space="0" w:color="auto"/>
                    <w:right w:val="nil"/>
                  </w:tcBorders>
                  <w:shd w:val="clear" w:color="000000" w:fill="BFBFBF"/>
                  <w:noWrap/>
                  <w:vAlign w:val="center"/>
                  <w:hideMark/>
                </w:tcPr>
                <w:p w14:paraId="19FE3417"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2013</w:t>
                  </w:r>
                </w:p>
              </w:tc>
              <w:tc>
                <w:tcPr>
                  <w:tcW w:w="1555" w:type="dxa"/>
                  <w:tcBorders>
                    <w:top w:val="nil"/>
                    <w:left w:val="nil"/>
                    <w:bottom w:val="single" w:sz="8" w:space="0" w:color="auto"/>
                    <w:right w:val="nil"/>
                  </w:tcBorders>
                  <w:shd w:val="clear" w:color="000000" w:fill="BFBFBF"/>
                  <w:vAlign w:val="center"/>
                  <w:hideMark/>
                </w:tcPr>
                <w:p w14:paraId="48211692"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Crecimiento anual promedio (%)  2008-13</w:t>
                  </w:r>
                </w:p>
              </w:tc>
              <w:tc>
                <w:tcPr>
                  <w:tcW w:w="914" w:type="dxa"/>
                  <w:tcBorders>
                    <w:top w:val="single" w:sz="8" w:space="0" w:color="auto"/>
                    <w:left w:val="nil"/>
                    <w:bottom w:val="single" w:sz="8" w:space="0" w:color="auto"/>
                    <w:right w:val="nil"/>
                  </w:tcBorders>
                  <w:shd w:val="clear" w:color="000000" w:fill="BFBFBF"/>
                  <w:noWrap/>
                  <w:vAlign w:val="center"/>
                  <w:hideMark/>
                </w:tcPr>
                <w:p w14:paraId="386BAC11"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2014</w:t>
                  </w:r>
                </w:p>
              </w:tc>
              <w:tc>
                <w:tcPr>
                  <w:tcW w:w="914" w:type="dxa"/>
                  <w:tcBorders>
                    <w:top w:val="single" w:sz="8" w:space="0" w:color="auto"/>
                    <w:left w:val="nil"/>
                    <w:bottom w:val="single" w:sz="8" w:space="0" w:color="auto"/>
                    <w:right w:val="nil"/>
                  </w:tcBorders>
                  <w:shd w:val="clear" w:color="000000" w:fill="BFBFBF"/>
                  <w:noWrap/>
                  <w:vAlign w:val="center"/>
                  <w:hideMark/>
                </w:tcPr>
                <w:p w14:paraId="15B4D787"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2015</w:t>
                  </w:r>
                </w:p>
              </w:tc>
              <w:tc>
                <w:tcPr>
                  <w:tcW w:w="1272" w:type="dxa"/>
                  <w:tcBorders>
                    <w:top w:val="nil"/>
                    <w:left w:val="nil"/>
                    <w:bottom w:val="single" w:sz="8" w:space="0" w:color="auto"/>
                    <w:right w:val="single" w:sz="8" w:space="0" w:color="auto"/>
                  </w:tcBorders>
                  <w:shd w:val="clear" w:color="000000" w:fill="BFBFBF"/>
                  <w:vAlign w:val="center"/>
                  <w:hideMark/>
                </w:tcPr>
                <w:p w14:paraId="55BD173B" w14:textId="77777777" w:rsidR="007A59FB" w:rsidRPr="00CB6F86" w:rsidRDefault="007A59FB" w:rsidP="007A59FB">
                  <w:pPr>
                    <w:jc w:val="center"/>
                    <w:rPr>
                      <w:rFonts w:eastAsia="Times New Roman"/>
                      <w:b/>
                      <w:bCs/>
                      <w:color w:val="000000"/>
                      <w:lang w:val="en-US"/>
                    </w:rPr>
                  </w:pPr>
                  <w:r w:rsidRPr="00CB6F86">
                    <w:rPr>
                      <w:rFonts w:eastAsia="Times New Roman"/>
                      <w:b/>
                      <w:bCs/>
                      <w:color w:val="000000"/>
                      <w:lang w:val="es-PE"/>
                    </w:rPr>
                    <w:t>Crecimiento anual promedio (%)   2008-15</w:t>
                  </w:r>
                </w:p>
              </w:tc>
            </w:tr>
            <w:tr w:rsidR="002C7444" w:rsidRPr="00CB6F86" w14:paraId="76537769" w14:textId="77777777" w:rsidTr="002C7444">
              <w:trPr>
                <w:gridAfter w:val="1"/>
                <w:wAfter w:w="7" w:type="dxa"/>
                <w:trHeight w:val="278"/>
              </w:trPr>
              <w:tc>
                <w:tcPr>
                  <w:tcW w:w="2490" w:type="dxa"/>
                  <w:tcBorders>
                    <w:top w:val="nil"/>
                    <w:left w:val="single" w:sz="8" w:space="0" w:color="auto"/>
                    <w:bottom w:val="nil"/>
                    <w:right w:val="single" w:sz="8" w:space="0" w:color="000000"/>
                  </w:tcBorders>
                  <w:shd w:val="clear" w:color="000000" w:fill="FFFFFF"/>
                  <w:noWrap/>
                  <w:vAlign w:val="center"/>
                  <w:hideMark/>
                </w:tcPr>
                <w:p w14:paraId="3ED8E94B" w14:textId="77777777" w:rsidR="007A59FB" w:rsidRPr="00CB6F86" w:rsidRDefault="007A59FB" w:rsidP="007A59FB">
                  <w:pPr>
                    <w:rPr>
                      <w:rFonts w:eastAsia="Times New Roman"/>
                      <w:color w:val="000000"/>
                      <w:lang w:val="en-US"/>
                    </w:rPr>
                  </w:pPr>
                  <w:r w:rsidRPr="00CB6F86">
                    <w:rPr>
                      <w:rFonts w:eastAsia="Times New Roman"/>
                      <w:color w:val="000000"/>
                      <w:lang w:val="es-PE"/>
                    </w:rPr>
                    <w:t>1. PBI</w:t>
                  </w:r>
                </w:p>
              </w:tc>
              <w:tc>
                <w:tcPr>
                  <w:tcW w:w="785" w:type="dxa"/>
                  <w:tcBorders>
                    <w:top w:val="nil"/>
                    <w:left w:val="nil"/>
                    <w:bottom w:val="nil"/>
                    <w:right w:val="single" w:sz="8" w:space="0" w:color="auto"/>
                  </w:tcBorders>
                  <w:shd w:val="clear" w:color="000000" w:fill="FFFFFF"/>
                  <w:noWrap/>
                  <w:vAlign w:val="center"/>
                  <w:hideMark/>
                </w:tcPr>
                <w:p w14:paraId="227AA84E"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100</w:t>
                  </w:r>
                </w:p>
              </w:tc>
              <w:tc>
                <w:tcPr>
                  <w:tcW w:w="784" w:type="dxa"/>
                  <w:tcBorders>
                    <w:top w:val="nil"/>
                    <w:left w:val="nil"/>
                    <w:bottom w:val="nil"/>
                    <w:right w:val="nil"/>
                  </w:tcBorders>
                  <w:shd w:val="clear" w:color="000000" w:fill="FFFFFF"/>
                  <w:vAlign w:val="center"/>
                  <w:hideMark/>
                </w:tcPr>
                <w:p w14:paraId="56978BCE" w14:textId="66DC7E81" w:rsidR="007A59FB" w:rsidRPr="00CB6F86" w:rsidRDefault="00357368" w:rsidP="007A59FB">
                  <w:pPr>
                    <w:jc w:val="center"/>
                    <w:rPr>
                      <w:rFonts w:eastAsia="Times New Roman"/>
                      <w:color w:val="000000"/>
                      <w:lang w:val="en-US"/>
                    </w:rPr>
                  </w:pPr>
                  <w:r>
                    <w:rPr>
                      <w:rFonts w:eastAsia="Times New Roman"/>
                      <w:color w:val="000000"/>
                      <w:lang w:val="es-PE"/>
                    </w:rPr>
                    <w:t>103,</w:t>
                  </w:r>
                  <w:r w:rsidR="007A59FB" w:rsidRPr="00CB6F86">
                    <w:rPr>
                      <w:rFonts w:eastAsia="Times New Roman"/>
                      <w:color w:val="000000"/>
                      <w:lang w:val="es-PE"/>
                    </w:rPr>
                    <w:t>7</w:t>
                  </w:r>
                </w:p>
              </w:tc>
              <w:tc>
                <w:tcPr>
                  <w:tcW w:w="785" w:type="dxa"/>
                  <w:tcBorders>
                    <w:top w:val="nil"/>
                    <w:left w:val="single" w:sz="8" w:space="0" w:color="auto"/>
                    <w:bottom w:val="nil"/>
                    <w:right w:val="single" w:sz="8" w:space="0" w:color="000000"/>
                  </w:tcBorders>
                  <w:shd w:val="clear" w:color="000000" w:fill="FFFFFF"/>
                  <w:vAlign w:val="center"/>
                  <w:hideMark/>
                </w:tcPr>
                <w:p w14:paraId="0EDB4504" w14:textId="7309ED65" w:rsidR="007A59FB" w:rsidRPr="00CB6F86" w:rsidRDefault="00357368" w:rsidP="007A59FB">
                  <w:pPr>
                    <w:jc w:val="center"/>
                    <w:rPr>
                      <w:rFonts w:eastAsia="Times New Roman"/>
                      <w:color w:val="000000"/>
                      <w:lang w:val="en-US"/>
                    </w:rPr>
                  </w:pPr>
                  <w:r>
                    <w:rPr>
                      <w:rFonts w:eastAsia="Times New Roman"/>
                      <w:color w:val="000000"/>
                      <w:lang w:val="es-PE"/>
                    </w:rPr>
                    <w:t>102,</w:t>
                  </w:r>
                  <w:r w:rsidR="007A59FB" w:rsidRPr="00CB6F86">
                    <w:rPr>
                      <w:rFonts w:eastAsia="Times New Roman"/>
                      <w:color w:val="000000"/>
                      <w:lang w:val="es-PE"/>
                    </w:rPr>
                    <w:t>6</w:t>
                  </w:r>
                </w:p>
              </w:tc>
              <w:tc>
                <w:tcPr>
                  <w:tcW w:w="914" w:type="dxa"/>
                  <w:tcBorders>
                    <w:top w:val="nil"/>
                    <w:left w:val="nil"/>
                    <w:bottom w:val="nil"/>
                    <w:right w:val="single" w:sz="8" w:space="0" w:color="000000"/>
                  </w:tcBorders>
                  <w:shd w:val="clear" w:color="000000" w:fill="FFFFFF"/>
                  <w:vAlign w:val="center"/>
                  <w:hideMark/>
                </w:tcPr>
                <w:p w14:paraId="0CF36281" w14:textId="7724DC47" w:rsidR="007A59FB" w:rsidRPr="00CB6F86" w:rsidRDefault="00357368" w:rsidP="007A59FB">
                  <w:pPr>
                    <w:jc w:val="center"/>
                    <w:rPr>
                      <w:rFonts w:eastAsia="Times New Roman"/>
                      <w:color w:val="000000"/>
                      <w:lang w:val="en-US"/>
                    </w:rPr>
                  </w:pPr>
                  <w:r>
                    <w:rPr>
                      <w:rFonts w:eastAsia="Times New Roman"/>
                      <w:color w:val="000000"/>
                      <w:lang w:val="es-PE"/>
                    </w:rPr>
                    <w:t>125,</w:t>
                  </w:r>
                  <w:r w:rsidR="007A59FB" w:rsidRPr="00CB6F86">
                    <w:rPr>
                      <w:rFonts w:eastAsia="Times New Roman"/>
                      <w:color w:val="000000"/>
                      <w:lang w:val="es-PE"/>
                    </w:rPr>
                    <w:t>9</w:t>
                  </w:r>
                </w:p>
              </w:tc>
              <w:tc>
                <w:tcPr>
                  <w:tcW w:w="1555" w:type="dxa"/>
                  <w:tcBorders>
                    <w:top w:val="nil"/>
                    <w:left w:val="nil"/>
                    <w:bottom w:val="nil"/>
                    <w:right w:val="nil"/>
                  </w:tcBorders>
                  <w:shd w:val="clear" w:color="000000" w:fill="FFFFFF"/>
                  <w:vAlign w:val="center"/>
                  <w:hideMark/>
                </w:tcPr>
                <w:p w14:paraId="70169D3E" w14:textId="4C38C1FE" w:rsidR="007A59FB" w:rsidRPr="00CB6F86" w:rsidRDefault="00357368" w:rsidP="007A59FB">
                  <w:pPr>
                    <w:jc w:val="center"/>
                    <w:rPr>
                      <w:rFonts w:eastAsia="Times New Roman"/>
                      <w:color w:val="000000"/>
                      <w:lang w:val="en-US"/>
                    </w:rPr>
                  </w:pPr>
                  <w:r>
                    <w:rPr>
                      <w:rFonts w:eastAsia="Times New Roman"/>
                      <w:color w:val="000000"/>
                      <w:lang w:val="es-PE"/>
                    </w:rPr>
                    <w:t>3,</w:t>
                  </w:r>
                  <w:r w:rsidR="007A59FB" w:rsidRPr="00CB6F86">
                    <w:rPr>
                      <w:rFonts w:eastAsia="Times New Roman"/>
                      <w:color w:val="000000"/>
                      <w:lang w:val="es-PE"/>
                    </w:rPr>
                    <w:t>9</w:t>
                  </w:r>
                </w:p>
              </w:tc>
              <w:tc>
                <w:tcPr>
                  <w:tcW w:w="914" w:type="dxa"/>
                  <w:tcBorders>
                    <w:top w:val="nil"/>
                    <w:left w:val="single" w:sz="8" w:space="0" w:color="auto"/>
                    <w:bottom w:val="nil"/>
                    <w:right w:val="single" w:sz="8" w:space="0" w:color="000000"/>
                  </w:tcBorders>
                  <w:shd w:val="clear" w:color="000000" w:fill="FFFFFF"/>
                  <w:vAlign w:val="center"/>
                  <w:hideMark/>
                </w:tcPr>
                <w:p w14:paraId="2E9B3E13" w14:textId="7A186020" w:rsidR="007A59FB" w:rsidRPr="00CB6F86" w:rsidRDefault="00357368" w:rsidP="007A59FB">
                  <w:pPr>
                    <w:jc w:val="center"/>
                    <w:rPr>
                      <w:rFonts w:eastAsia="Times New Roman"/>
                      <w:color w:val="000000"/>
                      <w:lang w:val="en-US"/>
                    </w:rPr>
                  </w:pPr>
                  <w:r>
                    <w:rPr>
                      <w:rFonts w:eastAsia="Times New Roman"/>
                      <w:color w:val="000000"/>
                      <w:lang w:val="es-PE"/>
                    </w:rPr>
                    <w:t>128,</w:t>
                  </w:r>
                  <w:r w:rsidR="007A59FB" w:rsidRPr="00CB6F86">
                    <w:rPr>
                      <w:rFonts w:eastAsia="Times New Roman"/>
                      <w:color w:val="000000"/>
                      <w:lang w:val="es-PE"/>
                    </w:rPr>
                    <w:t>3</w:t>
                  </w:r>
                </w:p>
              </w:tc>
              <w:tc>
                <w:tcPr>
                  <w:tcW w:w="914" w:type="dxa"/>
                  <w:tcBorders>
                    <w:top w:val="nil"/>
                    <w:left w:val="nil"/>
                    <w:bottom w:val="nil"/>
                    <w:right w:val="single" w:sz="8" w:space="0" w:color="000000"/>
                  </w:tcBorders>
                  <w:shd w:val="clear" w:color="000000" w:fill="FFFFFF"/>
                  <w:vAlign w:val="center"/>
                  <w:hideMark/>
                </w:tcPr>
                <w:p w14:paraId="14A91DC5" w14:textId="7E6A22D0" w:rsidR="007A59FB" w:rsidRPr="00CB6F86" w:rsidRDefault="00357368" w:rsidP="007A59FB">
                  <w:pPr>
                    <w:jc w:val="center"/>
                    <w:rPr>
                      <w:rFonts w:eastAsia="Times New Roman"/>
                      <w:color w:val="000000"/>
                      <w:lang w:val="en-US"/>
                    </w:rPr>
                  </w:pPr>
                  <w:r>
                    <w:rPr>
                      <w:rFonts w:eastAsia="Times New Roman"/>
                      <w:color w:val="000000"/>
                      <w:lang w:val="es-PE"/>
                    </w:rPr>
                    <w:t>131,</w:t>
                  </w:r>
                  <w:r w:rsidR="007A59FB" w:rsidRPr="00CB6F86">
                    <w:rPr>
                      <w:rFonts w:eastAsia="Times New Roman"/>
                      <w:color w:val="000000"/>
                      <w:lang w:val="es-PE"/>
                    </w:rPr>
                    <w:t>2</w:t>
                  </w:r>
                </w:p>
              </w:tc>
              <w:tc>
                <w:tcPr>
                  <w:tcW w:w="1272" w:type="dxa"/>
                  <w:tcBorders>
                    <w:top w:val="nil"/>
                    <w:left w:val="nil"/>
                    <w:bottom w:val="nil"/>
                    <w:right w:val="single" w:sz="8" w:space="0" w:color="auto"/>
                  </w:tcBorders>
                  <w:shd w:val="clear" w:color="000000" w:fill="FFFFFF"/>
                  <w:vAlign w:val="center"/>
                  <w:hideMark/>
                </w:tcPr>
                <w:p w14:paraId="36E7D141" w14:textId="003FA2AD" w:rsidR="007A59FB" w:rsidRPr="00CB6F86" w:rsidRDefault="00357368" w:rsidP="007A59FB">
                  <w:pPr>
                    <w:jc w:val="center"/>
                    <w:rPr>
                      <w:rFonts w:eastAsia="Times New Roman"/>
                      <w:color w:val="000000"/>
                      <w:lang w:val="en-US"/>
                    </w:rPr>
                  </w:pPr>
                  <w:r>
                    <w:rPr>
                      <w:rFonts w:eastAsia="Times New Roman"/>
                      <w:color w:val="000000"/>
                      <w:lang w:val="es-PE"/>
                    </w:rPr>
                    <w:t>3,</w:t>
                  </w:r>
                  <w:r w:rsidR="007A59FB" w:rsidRPr="00CB6F86">
                    <w:rPr>
                      <w:rFonts w:eastAsia="Times New Roman"/>
                      <w:color w:val="000000"/>
                      <w:lang w:val="es-PE"/>
                    </w:rPr>
                    <w:t>5</w:t>
                  </w:r>
                </w:p>
              </w:tc>
            </w:tr>
            <w:tr w:rsidR="002C7444" w:rsidRPr="00CB6F86" w14:paraId="6C950FD7" w14:textId="77777777" w:rsidTr="002C7444">
              <w:trPr>
                <w:gridAfter w:val="1"/>
                <w:wAfter w:w="7" w:type="dxa"/>
                <w:trHeight w:val="278"/>
              </w:trPr>
              <w:tc>
                <w:tcPr>
                  <w:tcW w:w="2490" w:type="dxa"/>
                  <w:tcBorders>
                    <w:top w:val="nil"/>
                    <w:left w:val="single" w:sz="8" w:space="0" w:color="auto"/>
                    <w:bottom w:val="nil"/>
                    <w:right w:val="single" w:sz="8" w:space="0" w:color="000000"/>
                  </w:tcBorders>
                  <w:shd w:val="clear" w:color="000000" w:fill="FFFFFF"/>
                  <w:noWrap/>
                  <w:vAlign w:val="center"/>
                  <w:hideMark/>
                </w:tcPr>
                <w:p w14:paraId="7B18FE50" w14:textId="4666D6F1" w:rsidR="007A59FB" w:rsidRPr="00CB6F86" w:rsidRDefault="007A59FB" w:rsidP="00ED7230">
                  <w:pPr>
                    <w:rPr>
                      <w:rFonts w:eastAsia="Times New Roman"/>
                      <w:color w:val="000000"/>
                      <w:lang w:val="en-US"/>
                    </w:rPr>
                  </w:pPr>
                  <w:r w:rsidRPr="00CB6F86">
                    <w:rPr>
                      <w:rFonts w:eastAsia="Times New Roman"/>
                      <w:color w:val="000000"/>
                      <w:lang w:val="es-PE"/>
                    </w:rPr>
                    <w:t>2.</w:t>
                  </w:r>
                  <w:r w:rsidR="00ED7230">
                    <w:rPr>
                      <w:rFonts w:eastAsia="Times New Roman"/>
                      <w:color w:val="000000"/>
                      <w:lang w:val="es-PE"/>
                    </w:rPr>
                    <w:t>Q</w:t>
                  </w:r>
                  <w:r w:rsidRPr="00CB6F86">
                    <w:rPr>
                      <w:rFonts w:eastAsia="Times New Roman"/>
                      <w:color w:val="000000"/>
                      <w:lang w:val="es-PE"/>
                    </w:rPr>
                    <w:t>uantum de exportaciones</w:t>
                  </w:r>
                </w:p>
              </w:tc>
              <w:tc>
                <w:tcPr>
                  <w:tcW w:w="785" w:type="dxa"/>
                  <w:tcBorders>
                    <w:top w:val="nil"/>
                    <w:left w:val="nil"/>
                    <w:bottom w:val="nil"/>
                    <w:right w:val="single" w:sz="8" w:space="0" w:color="auto"/>
                  </w:tcBorders>
                  <w:shd w:val="clear" w:color="000000" w:fill="FFFFFF"/>
                  <w:noWrap/>
                  <w:vAlign w:val="center"/>
                  <w:hideMark/>
                </w:tcPr>
                <w:p w14:paraId="08E136FB"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100</w:t>
                  </w:r>
                </w:p>
              </w:tc>
              <w:tc>
                <w:tcPr>
                  <w:tcW w:w="784" w:type="dxa"/>
                  <w:tcBorders>
                    <w:top w:val="nil"/>
                    <w:left w:val="nil"/>
                    <w:bottom w:val="nil"/>
                    <w:right w:val="nil"/>
                  </w:tcBorders>
                  <w:shd w:val="clear" w:color="000000" w:fill="FFFFFF"/>
                  <w:vAlign w:val="center"/>
                  <w:hideMark/>
                </w:tcPr>
                <w:p w14:paraId="4306EEA9" w14:textId="2BFB5C9E" w:rsidR="007A59FB" w:rsidRPr="00CB6F86" w:rsidRDefault="00357368" w:rsidP="007A59FB">
                  <w:pPr>
                    <w:jc w:val="center"/>
                    <w:rPr>
                      <w:rFonts w:eastAsia="Times New Roman"/>
                      <w:color w:val="000000"/>
                      <w:lang w:val="en-US"/>
                    </w:rPr>
                  </w:pPr>
                  <w:r>
                    <w:rPr>
                      <w:rFonts w:eastAsia="Times New Roman"/>
                      <w:color w:val="000000"/>
                      <w:lang w:val="es-PE"/>
                    </w:rPr>
                    <w:t>99,3</w:t>
                  </w:r>
                </w:p>
              </w:tc>
              <w:tc>
                <w:tcPr>
                  <w:tcW w:w="785" w:type="dxa"/>
                  <w:tcBorders>
                    <w:top w:val="nil"/>
                    <w:left w:val="single" w:sz="8" w:space="0" w:color="auto"/>
                    <w:bottom w:val="nil"/>
                    <w:right w:val="single" w:sz="8" w:space="0" w:color="000000"/>
                  </w:tcBorders>
                  <w:shd w:val="clear" w:color="000000" w:fill="FFFFFF"/>
                  <w:vAlign w:val="center"/>
                  <w:hideMark/>
                </w:tcPr>
                <w:p w14:paraId="7BFE9B10" w14:textId="16BF856A" w:rsidR="007A59FB" w:rsidRPr="00CB6F86" w:rsidRDefault="00357368" w:rsidP="007A59FB">
                  <w:pPr>
                    <w:jc w:val="center"/>
                    <w:rPr>
                      <w:rFonts w:eastAsia="Times New Roman"/>
                      <w:color w:val="000000"/>
                      <w:lang w:val="en-US"/>
                    </w:rPr>
                  </w:pPr>
                  <w:r>
                    <w:rPr>
                      <w:rFonts w:eastAsia="Times New Roman"/>
                      <w:color w:val="000000"/>
                      <w:lang w:val="es-PE"/>
                    </w:rPr>
                    <w:t>94,</w:t>
                  </w:r>
                  <w:r w:rsidR="007A59FB" w:rsidRPr="00CB6F86">
                    <w:rPr>
                      <w:rFonts w:eastAsia="Times New Roman"/>
                      <w:color w:val="000000"/>
                      <w:lang w:val="es-PE"/>
                    </w:rPr>
                    <w:t>8</w:t>
                  </w:r>
                </w:p>
              </w:tc>
              <w:tc>
                <w:tcPr>
                  <w:tcW w:w="914" w:type="dxa"/>
                  <w:tcBorders>
                    <w:top w:val="nil"/>
                    <w:left w:val="nil"/>
                    <w:bottom w:val="nil"/>
                    <w:right w:val="single" w:sz="8" w:space="0" w:color="000000"/>
                  </w:tcBorders>
                  <w:shd w:val="clear" w:color="000000" w:fill="FFFFFF"/>
                  <w:vAlign w:val="center"/>
                  <w:hideMark/>
                </w:tcPr>
                <w:p w14:paraId="718FB490" w14:textId="58B199E7" w:rsidR="007A59FB" w:rsidRPr="00CB6F86" w:rsidRDefault="00357368" w:rsidP="007A59FB">
                  <w:pPr>
                    <w:jc w:val="center"/>
                    <w:rPr>
                      <w:rFonts w:eastAsia="Times New Roman"/>
                      <w:color w:val="000000"/>
                      <w:lang w:val="en-US"/>
                    </w:rPr>
                  </w:pPr>
                  <w:r>
                    <w:rPr>
                      <w:rFonts w:eastAsia="Times New Roman"/>
                      <w:color w:val="000000"/>
                      <w:lang w:val="es-PE"/>
                    </w:rPr>
                    <w:t>105,</w:t>
                  </w:r>
                  <w:r w:rsidR="007A59FB" w:rsidRPr="00CB6F86">
                    <w:rPr>
                      <w:rFonts w:eastAsia="Times New Roman"/>
                      <w:color w:val="000000"/>
                      <w:lang w:val="es-PE"/>
                    </w:rPr>
                    <w:t>8</w:t>
                  </w:r>
                </w:p>
              </w:tc>
              <w:tc>
                <w:tcPr>
                  <w:tcW w:w="1555" w:type="dxa"/>
                  <w:tcBorders>
                    <w:top w:val="nil"/>
                    <w:left w:val="nil"/>
                    <w:bottom w:val="nil"/>
                    <w:right w:val="single" w:sz="8" w:space="0" w:color="auto"/>
                  </w:tcBorders>
                  <w:shd w:val="clear" w:color="000000" w:fill="FFFFFF"/>
                  <w:vAlign w:val="center"/>
                  <w:hideMark/>
                </w:tcPr>
                <w:p w14:paraId="310EECFA" w14:textId="49AD816E" w:rsidR="007A59FB" w:rsidRPr="00CB6F86" w:rsidRDefault="00357368" w:rsidP="007A59FB">
                  <w:pPr>
                    <w:jc w:val="center"/>
                    <w:rPr>
                      <w:rFonts w:eastAsia="Times New Roman"/>
                      <w:color w:val="000000"/>
                      <w:lang w:val="en-US"/>
                    </w:rPr>
                  </w:pPr>
                  <w:r>
                    <w:rPr>
                      <w:rFonts w:eastAsia="Times New Roman"/>
                      <w:color w:val="000000"/>
                      <w:lang w:val="es-PE"/>
                    </w:rPr>
                    <w:t>0,</w:t>
                  </w:r>
                  <w:r w:rsidR="007A59FB" w:rsidRPr="00CB6F86">
                    <w:rPr>
                      <w:rFonts w:eastAsia="Times New Roman"/>
                      <w:color w:val="000000"/>
                      <w:lang w:val="es-PE"/>
                    </w:rPr>
                    <w:t>9</w:t>
                  </w:r>
                </w:p>
              </w:tc>
              <w:tc>
                <w:tcPr>
                  <w:tcW w:w="914" w:type="dxa"/>
                  <w:tcBorders>
                    <w:top w:val="nil"/>
                    <w:left w:val="nil"/>
                    <w:bottom w:val="nil"/>
                    <w:right w:val="single" w:sz="8" w:space="0" w:color="000000"/>
                  </w:tcBorders>
                  <w:shd w:val="clear" w:color="000000" w:fill="FFFFFF"/>
                  <w:vAlign w:val="center"/>
                  <w:hideMark/>
                </w:tcPr>
                <w:p w14:paraId="24A6059E" w14:textId="1024DD36" w:rsidR="007A59FB" w:rsidRPr="00CB6F86" w:rsidRDefault="00357368" w:rsidP="007A59FB">
                  <w:pPr>
                    <w:jc w:val="center"/>
                    <w:rPr>
                      <w:rFonts w:eastAsia="Times New Roman"/>
                      <w:color w:val="000000"/>
                      <w:lang w:val="en-US"/>
                    </w:rPr>
                  </w:pPr>
                  <w:r>
                    <w:rPr>
                      <w:rFonts w:eastAsia="Times New Roman"/>
                      <w:color w:val="000000"/>
                      <w:lang w:val="es-PE"/>
                    </w:rPr>
                    <w:t>106,</w:t>
                  </w:r>
                  <w:r w:rsidR="007A59FB" w:rsidRPr="00CB6F86">
                    <w:rPr>
                      <w:rFonts w:eastAsia="Times New Roman"/>
                      <w:color w:val="000000"/>
                      <w:lang w:val="es-PE"/>
                    </w:rPr>
                    <w:t>9</w:t>
                  </w:r>
                </w:p>
              </w:tc>
              <w:tc>
                <w:tcPr>
                  <w:tcW w:w="914" w:type="dxa"/>
                  <w:tcBorders>
                    <w:top w:val="nil"/>
                    <w:left w:val="nil"/>
                    <w:bottom w:val="nil"/>
                    <w:right w:val="single" w:sz="8" w:space="0" w:color="000000"/>
                  </w:tcBorders>
                  <w:shd w:val="clear" w:color="000000" w:fill="FFFFFF"/>
                  <w:vAlign w:val="center"/>
                  <w:hideMark/>
                </w:tcPr>
                <w:p w14:paraId="10324D3A" w14:textId="02402AF4" w:rsidR="007A59FB" w:rsidRPr="00CB6F86" w:rsidRDefault="00357368" w:rsidP="007A59FB">
                  <w:pPr>
                    <w:jc w:val="center"/>
                    <w:rPr>
                      <w:rFonts w:eastAsia="Times New Roman"/>
                      <w:color w:val="000000"/>
                      <w:lang w:val="en-US"/>
                    </w:rPr>
                  </w:pPr>
                  <w:r>
                    <w:rPr>
                      <w:rFonts w:eastAsia="Times New Roman"/>
                      <w:color w:val="000000"/>
                      <w:lang w:val="es-PE"/>
                    </w:rPr>
                    <w:t>104,</w:t>
                  </w:r>
                  <w:r w:rsidR="007A59FB" w:rsidRPr="00CB6F86">
                    <w:rPr>
                      <w:rFonts w:eastAsia="Times New Roman"/>
                      <w:color w:val="000000"/>
                      <w:lang w:val="es-PE"/>
                    </w:rPr>
                    <w:t>9</w:t>
                  </w:r>
                </w:p>
              </w:tc>
              <w:tc>
                <w:tcPr>
                  <w:tcW w:w="1272" w:type="dxa"/>
                  <w:tcBorders>
                    <w:top w:val="nil"/>
                    <w:left w:val="nil"/>
                    <w:bottom w:val="nil"/>
                    <w:right w:val="single" w:sz="8" w:space="0" w:color="auto"/>
                  </w:tcBorders>
                  <w:shd w:val="clear" w:color="000000" w:fill="FFFFFF"/>
                  <w:vAlign w:val="center"/>
                  <w:hideMark/>
                </w:tcPr>
                <w:p w14:paraId="74C960D7" w14:textId="3BC292BC" w:rsidR="007A59FB" w:rsidRPr="00CB6F86" w:rsidRDefault="00357368" w:rsidP="007A59FB">
                  <w:pPr>
                    <w:jc w:val="center"/>
                    <w:rPr>
                      <w:rFonts w:eastAsia="Times New Roman"/>
                      <w:color w:val="000000"/>
                      <w:lang w:val="en-US"/>
                    </w:rPr>
                  </w:pPr>
                  <w:r>
                    <w:rPr>
                      <w:rFonts w:eastAsia="Times New Roman"/>
                      <w:color w:val="000000"/>
                      <w:lang w:val="es-PE"/>
                    </w:rPr>
                    <w:t>0,</w:t>
                  </w:r>
                  <w:r w:rsidR="007A59FB" w:rsidRPr="00CB6F86">
                    <w:rPr>
                      <w:rFonts w:eastAsia="Times New Roman"/>
                      <w:color w:val="000000"/>
                      <w:lang w:val="es-PE"/>
                    </w:rPr>
                    <w:t>6</w:t>
                  </w:r>
                </w:p>
              </w:tc>
            </w:tr>
            <w:tr w:rsidR="002C7444" w:rsidRPr="00CB6F86" w14:paraId="662F754B" w14:textId="77777777" w:rsidTr="002C7444">
              <w:trPr>
                <w:gridAfter w:val="1"/>
                <w:wAfter w:w="7" w:type="dxa"/>
                <w:trHeight w:val="278"/>
              </w:trPr>
              <w:tc>
                <w:tcPr>
                  <w:tcW w:w="2490" w:type="dxa"/>
                  <w:tcBorders>
                    <w:top w:val="nil"/>
                    <w:left w:val="single" w:sz="8" w:space="0" w:color="auto"/>
                    <w:bottom w:val="nil"/>
                    <w:right w:val="single" w:sz="8" w:space="0" w:color="000000"/>
                  </w:tcBorders>
                  <w:shd w:val="clear" w:color="000000" w:fill="FFFFFF"/>
                  <w:noWrap/>
                  <w:vAlign w:val="center"/>
                  <w:hideMark/>
                </w:tcPr>
                <w:p w14:paraId="2D8D8F23" w14:textId="1D4B8F01" w:rsidR="007A59FB" w:rsidRPr="00CB6F86" w:rsidRDefault="007A59FB" w:rsidP="00ED7230">
                  <w:pPr>
                    <w:rPr>
                      <w:rFonts w:eastAsia="Times New Roman"/>
                      <w:color w:val="000000"/>
                      <w:lang w:val="en-US"/>
                    </w:rPr>
                  </w:pPr>
                  <w:r w:rsidRPr="00CB6F86">
                    <w:rPr>
                      <w:rFonts w:eastAsia="Times New Roman"/>
                      <w:color w:val="000000"/>
                      <w:lang w:val="es-PE"/>
                    </w:rPr>
                    <w:t>3.</w:t>
                  </w:r>
                  <w:r w:rsidR="00ED7230">
                    <w:rPr>
                      <w:rFonts w:eastAsia="Times New Roman"/>
                      <w:color w:val="000000"/>
                      <w:lang w:val="es-PE"/>
                    </w:rPr>
                    <w:t>Q</w:t>
                  </w:r>
                  <w:r w:rsidRPr="00CB6F86">
                    <w:rPr>
                      <w:rFonts w:eastAsia="Times New Roman"/>
                      <w:color w:val="000000"/>
                      <w:lang w:val="es-PE"/>
                    </w:rPr>
                    <w:t>uantum  de importaciones</w:t>
                  </w:r>
                </w:p>
              </w:tc>
              <w:tc>
                <w:tcPr>
                  <w:tcW w:w="785" w:type="dxa"/>
                  <w:tcBorders>
                    <w:top w:val="nil"/>
                    <w:left w:val="nil"/>
                    <w:bottom w:val="nil"/>
                    <w:right w:val="single" w:sz="8" w:space="0" w:color="auto"/>
                  </w:tcBorders>
                  <w:shd w:val="clear" w:color="000000" w:fill="FFFFFF"/>
                  <w:noWrap/>
                  <w:vAlign w:val="center"/>
                  <w:hideMark/>
                </w:tcPr>
                <w:p w14:paraId="2AB8F813"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100</w:t>
                  </w:r>
                </w:p>
              </w:tc>
              <w:tc>
                <w:tcPr>
                  <w:tcW w:w="784" w:type="dxa"/>
                  <w:tcBorders>
                    <w:top w:val="nil"/>
                    <w:left w:val="nil"/>
                    <w:bottom w:val="nil"/>
                    <w:right w:val="nil"/>
                  </w:tcBorders>
                  <w:shd w:val="clear" w:color="000000" w:fill="FFFFFF"/>
                  <w:vAlign w:val="center"/>
                  <w:hideMark/>
                </w:tcPr>
                <w:p w14:paraId="1511B9E3" w14:textId="22925E00" w:rsidR="007A59FB" w:rsidRPr="00CB6F86" w:rsidRDefault="00357368" w:rsidP="007A59FB">
                  <w:pPr>
                    <w:jc w:val="center"/>
                    <w:rPr>
                      <w:rFonts w:eastAsia="Times New Roman"/>
                      <w:color w:val="000000"/>
                      <w:lang w:val="en-US"/>
                    </w:rPr>
                  </w:pPr>
                  <w:r>
                    <w:rPr>
                      <w:rFonts w:eastAsia="Times New Roman"/>
                      <w:color w:val="000000"/>
                      <w:lang w:val="es-PE"/>
                    </w:rPr>
                    <w:t>111,</w:t>
                  </w:r>
                  <w:r w:rsidR="007A59FB" w:rsidRPr="00CB6F86">
                    <w:rPr>
                      <w:rFonts w:eastAsia="Times New Roman"/>
                      <w:color w:val="000000"/>
                      <w:lang w:val="es-PE"/>
                    </w:rPr>
                    <w:t>2</w:t>
                  </w:r>
                </w:p>
              </w:tc>
              <w:tc>
                <w:tcPr>
                  <w:tcW w:w="785" w:type="dxa"/>
                  <w:tcBorders>
                    <w:top w:val="nil"/>
                    <w:left w:val="single" w:sz="8" w:space="0" w:color="auto"/>
                    <w:bottom w:val="nil"/>
                    <w:right w:val="single" w:sz="8" w:space="0" w:color="000000"/>
                  </w:tcBorders>
                  <w:shd w:val="clear" w:color="000000" w:fill="FFFFFF"/>
                  <w:vAlign w:val="center"/>
                  <w:hideMark/>
                </w:tcPr>
                <w:p w14:paraId="6414E9CB" w14:textId="2ED30844" w:rsidR="007A59FB" w:rsidRPr="00CB6F86" w:rsidRDefault="00357368" w:rsidP="007A59FB">
                  <w:pPr>
                    <w:jc w:val="center"/>
                    <w:rPr>
                      <w:rFonts w:eastAsia="Times New Roman"/>
                      <w:color w:val="000000"/>
                      <w:lang w:val="en-US"/>
                    </w:rPr>
                  </w:pPr>
                  <w:r>
                    <w:rPr>
                      <w:rFonts w:eastAsia="Times New Roman"/>
                      <w:color w:val="000000"/>
                      <w:lang w:val="es-PE"/>
                    </w:rPr>
                    <w:t>93,</w:t>
                  </w:r>
                  <w:r w:rsidR="007A59FB" w:rsidRPr="00CB6F86">
                    <w:rPr>
                      <w:rFonts w:eastAsia="Times New Roman"/>
                      <w:color w:val="000000"/>
                      <w:lang w:val="es-PE"/>
                    </w:rPr>
                    <w:t>2</w:t>
                  </w:r>
                </w:p>
              </w:tc>
              <w:tc>
                <w:tcPr>
                  <w:tcW w:w="914" w:type="dxa"/>
                  <w:tcBorders>
                    <w:top w:val="nil"/>
                    <w:left w:val="nil"/>
                    <w:bottom w:val="nil"/>
                    <w:right w:val="single" w:sz="8" w:space="0" w:color="000000"/>
                  </w:tcBorders>
                  <w:shd w:val="clear" w:color="000000" w:fill="FFFFFF"/>
                  <w:vAlign w:val="center"/>
                  <w:hideMark/>
                </w:tcPr>
                <w:p w14:paraId="1159F0A8" w14:textId="7277BD9E" w:rsidR="007A59FB" w:rsidRPr="00CB6F86" w:rsidRDefault="00357368" w:rsidP="007A59FB">
                  <w:pPr>
                    <w:jc w:val="center"/>
                    <w:rPr>
                      <w:rFonts w:eastAsia="Times New Roman"/>
                      <w:color w:val="000000"/>
                      <w:lang w:val="en-US"/>
                    </w:rPr>
                  </w:pPr>
                  <w:r>
                    <w:rPr>
                      <w:rFonts w:eastAsia="Times New Roman"/>
                      <w:color w:val="000000"/>
                      <w:lang w:val="es-PE"/>
                    </w:rPr>
                    <w:t>145,</w:t>
                  </w:r>
                  <w:r w:rsidR="007A59FB" w:rsidRPr="00CB6F86">
                    <w:rPr>
                      <w:rFonts w:eastAsia="Times New Roman"/>
                      <w:color w:val="000000"/>
                      <w:lang w:val="es-PE"/>
                    </w:rPr>
                    <w:t>2</w:t>
                  </w:r>
                </w:p>
              </w:tc>
              <w:tc>
                <w:tcPr>
                  <w:tcW w:w="1555" w:type="dxa"/>
                  <w:tcBorders>
                    <w:top w:val="nil"/>
                    <w:left w:val="nil"/>
                    <w:bottom w:val="nil"/>
                    <w:right w:val="single" w:sz="8" w:space="0" w:color="auto"/>
                  </w:tcBorders>
                  <w:shd w:val="clear" w:color="000000" w:fill="FFFFFF"/>
                  <w:vAlign w:val="center"/>
                  <w:hideMark/>
                </w:tcPr>
                <w:p w14:paraId="427223B0" w14:textId="7F647A17" w:rsidR="007A59FB" w:rsidRPr="00CB6F86" w:rsidRDefault="00357368" w:rsidP="007A59FB">
                  <w:pPr>
                    <w:jc w:val="center"/>
                    <w:rPr>
                      <w:rFonts w:eastAsia="Times New Roman"/>
                      <w:color w:val="000000"/>
                      <w:lang w:val="en-US"/>
                    </w:rPr>
                  </w:pPr>
                  <w:r>
                    <w:rPr>
                      <w:rFonts w:eastAsia="Times New Roman"/>
                      <w:color w:val="000000"/>
                      <w:lang w:val="es-PE"/>
                    </w:rPr>
                    <w:t>6,</w:t>
                  </w:r>
                  <w:r w:rsidR="007A59FB" w:rsidRPr="00CB6F86">
                    <w:rPr>
                      <w:rFonts w:eastAsia="Times New Roman"/>
                      <w:color w:val="000000"/>
                      <w:lang w:val="es-PE"/>
                    </w:rPr>
                    <w:t>4</w:t>
                  </w:r>
                </w:p>
              </w:tc>
              <w:tc>
                <w:tcPr>
                  <w:tcW w:w="914" w:type="dxa"/>
                  <w:tcBorders>
                    <w:top w:val="nil"/>
                    <w:left w:val="nil"/>
                    <w:bottom w:val="nil"/>
                    <w:right w:val="single" w:sz="8" w:space="0" w:color="000000"/>
                  </w:tcBorders>
                  <w:shd w:val="clear" w:color="000000" w:fill="FFFFFF"/>
                  <w:vAlign w:val="center"/>
                  <w:hideMark/>
                </w:tcPr>
                <w:p w14:paraId="2FCFFBCB" w14:textId="51952EF7" w:rsidR="007A59FB" w:rsidRPr="00CB6F86" w:rsidRDefault="00357368" w:rsidP="007A59FB">
                  <w:pPr>
                    <w:jc w:val="center"/>
                    <w:rPr>
                      <w:rFonts w:eastAsia="Times New Roman"/>
                      <w:color w:val="000000"/>
                      <w:lang w:val="en-US"/>
                    </w:rPr>
                  </w:pPr>
                  <w:r>
                    <w:rPr>
                      <w:rFonts w:eastAsia="Times New Roman"/>
                      <w:color w:val="000000"/>
                      <w:lang w:val="es-PE"/>
                    </w:rPr>
                    <w:t>136,</w:t>
                  </w:r>
                  <w:r w:rsidR="007A59FB" w:rsidRPr="00CB6F86">
                    <w:rPr>
                      <w:rFonts w:eastAsia="Times New Roman"/>
                      <w:color w:val="000000"/>
                      <w:lang w:val="es-PE"/>
                    </w:rPr>
                    <w:t>9</w:t>
                  </w:r>
                </w:p>
              </w:tc>
              <w:tc>
                <w:tcPr>
                  <w:tcW w:w="914" w:type="dxa"/>
                  <w:tcBorders>
                    <w:top w:val="nil"/>
                    <w:left w:val="nil"/>
                    <w:bottom w:val="nil"/>
                    <w:right w:val="single" w:sz="8" w:space="0" w:color="000000"/>
                  </w:tcBorders>
                  <w:shd w:val="clear" w:color="000000" w:fill="FFFFFF"/>
                  <w:vAlign w:val="center"/>
                  <w:hideMark/>
                </w:tcPr>
                <w:p w14:paraId="58FB60F4" w14:textId="44162E39" w:rsidR="007A59FB" w:rsidRPr="00CB6F86" w:rsidRDefault="00357368" w:rsidP="007A59FB">
                  <w:pPr>
                    <w:jc w:val="center"/>
                    <w:rPr>
                      <w:rFonts w:eastAsia="Times New Roman"/>
                      <w:color w:val="000000"/>
                      <w:lang w:val="en-US"/>
                    </w:rPr>
                  </w:pPr>
                  <w:r>
                    <w:rPr>
                      <w:rFonts w:eastAsia="Times New Roman"/>
                      <w:color w:val="000000"/>
                      <w:lang w:val="es-PE"/>
                    </w:rPr>
                    <w:t>133,</w:t>
                  </w:r>
                  <w:r w:rsidR="007A59FB" w:rsidRPr="00CB6F86">
                    <w:rPr>
                      <w:rFonts w:eastAsia="Times New Roman"/>
                      <w:color w:val="000000"/>
                      <w:lang w:val="es-PE"/>
                    </w:rPr>
                    <w:t>0</w:t>
                  </w:r>
                </w:p>
              </w:tc>
              <w:tc>
                <w:tcPr>
                  <w:tcW w:w="1272" w:type="dxa"/>
                  <w:tcBorders>
                    <w:top w:val="nil"/>
                    <w:left w:val="nil"/>
                    <w:bottom w:val="nil"/>
                    <w:right w:val="single" w:sz="8" w:space="0" w:color="auto"/>
                  </w:tcBorders>
                  <w:shd w:val="clear" w:color="000000" w:fill="FFFFFF"/>
                  <w:vAlign w:val="center"/>
                  <w:hideMark/>
                </w:tcPr>
                <w:p w14:paraId="3EC3520C" w14:textId="0FA27DEF" w:rsidR="007A59FB" w:rsidRPr="00CB6F86" w:rsidRDefault="00357368" w:rsidP="007A59FB">
                  <w:pPr>
                    <w:jc w:val="center"/>
                    <w:rPr>
                      <w:rFonts w:eastAsia="Times New Roman"/>
                      <w:color w:val="000000"/>
                      <w:lang w:val="en-US"/>
                    </w:rPr>
                  </w:pPr>
                  <w:r>
                    <w:rPr>
                      <w:rFonts w:eastAsia="Times New Roman"/>
                      <w:color w:val="000000"/>
                      <w:lang w:val="es-PE"/>
                    </w:rPr>
                    <w:t>3,</w:t>
                  </w:r>
                  <w:r w:rsidR="007A59FB" w:rsidRPr="00CB6F86">
                    <w:rPr>
                      <w:rFonts w:eastAsia="Times New Roman"/>
                      <w:color w:val="000000"/>
                      <w:lang w:val="es-PE"/>
                    </w:rPr>
                    <w:t>6</w:t>
                  </w:r>
                </w:p>
              </w:tc>
            </w:tr>
            <w:tr w:rsidR="002C7444" w:rsidRPr="00CB6F86" w14:paraId="4A845D2C" w14:textId="77777777" w:rsidTr="002C7444">
              <w:trPr>
                <w:gridAfter w:val="1"/>
                <w:wAfter w:w="7" w:type="dxa"/>
                <w:trHeight w:val="292"/>
              </w:trPr>
              <w:tc>
                <w:tcPr>
                  <w:tcW w:w="2490" w:type="dxa"/>
                  <w:tcBorders>
                    <w:top w:val="nil"/>
                    <w:left w:val="single" w:sz="8" w:space="0" w:color="auto"/>
                    <w:bottom w:val="single" w:sz="8" w:space="0" w:color="auto"/>
                    <w:right w:val="single" w:sz="8" w:space="0" w:color="000000"/>
                  </w:tcBorders>
                  <w:shd w:val="clear" w:color="000000" w:fill="FFFFFF"/>
                  <w:noWrap/>
                  <w:vAlign w:val="center"/>
                  <w:hideMark/>
                </w:tcPr>
                <w:p w14:paraId="45B39D68" w14:textId="77777777" w:rsidR="007A59FB" w:rsidRPr="00CB6F86" w:rsidRDefault="007A59FB" w:rsidP="007A59FB">
                  <w:pPr>
                    <w:rPr>
                      <w:rFonts w:eastAsia="Times New Roman"/>
                      <w:color w:val="000000"/>
                      <w:lang w:val="en-US"/>
                    </w:rPr>
                  </w:pPr>
                  <w:r w:rsidRPr="00CB6F86">
                    <w:rPr>
                      <w:rFonts w:eastAsia="Times New Roman"/>
                      <w:color w:val="000000"/>
                      <w:lang w:val="es-PE"/>
                    </w:rPr>
                    <w:t>4.Demanda interna</w:t>
                  </w:r>
                </w:p>
              </w:tc>
              <w:tc>
                <w:tcPr>
                  <w:tcW w:w="785" w:type="dxa"/>
                  <w:tcBorders>
                    <w:top w:val="nil"/>
                    <w:left w:val="nil"/>
                    <w:bottom w:val="single" w:sz="8" w:space="0" w:color="auto"/>
                    <w:right w:val="single" w:sz="8" w:space="0" w:color="auto"/>
                  </w:tcBorders>
                  <w:shd w:val="clear" w:color="000000" w:fill="FFFFFF"/>
                  <w:noWrap/>
                  <w:vAlign w:val="center"/>
                  <w:hideMark/>
                </w:tcPr>
                <w:p w14:paraId="16AA6C7C" w14:textId="77777777" w:rsidR="007A59FB" w:rsidRPr="00CB6F86" w:rsidRDefault="007A59FB" w:rsidP="007A59FB">
                  <w:pPr>
                    <w:jc w:val="center"/>
                    <w:rPr>
                      <w:rFonts w:eastAsia="Times New Roman"/>
                      <w:color w:val="000000"/>
                      <w:lang w:val="en-US"/>
                    </w:rPr>
                  </w:pPr>
                  <w:r w:rsidRPr="00CB6F86">
                    <w:rPr>
                      <w:rFonts w:eastAsia="Times New Roman"/>
                      <w:color w:val="000000"/>
                      <w:lang w:val="es-PE"/>
                    </w:rPr>
                    <w:t>100</w:t>
                  </w:r>
                </w:p>
              </w:tc>
              <w:tc>
                <w:tcPr>
                  <w:tcW w:w="784" w:type="dxa"/>
                  <w:tcBorders>
                    <w:top w:val="nil"/>
                    <w:left w:val="nil"/>
                    <w:bottom w:val="single" w:sz="8" w:space="0" w:color="auto"/>
                    <w:right w:val="nil"/>
                  </w:tcBorders>
                  <w:shd w:val="clear" w:color="000000" w:fill="FFFFFF"/>
                  <w:vAlign w:val="center"/>
                  <w:hideMark/>
                </w:tcPr>
                <w:p w14:paraId="23109263" w14:textId="275DD1F8" w:rsidR="007A59FB" w:rsidRPr="00CB6F86" w:rsidRDefault="00357368" w:rsidP="007A59FB">
                  <w:pPr>
                    <w:jc w:val="center"/>
                    <w:rPr>
                      <w:rFonts w:eastAsia="Times New Roman"/>
                      <w:color w:val="000000"/>
                      <w:lang w:val="en-US"/>
                    </w:rPr>
                  </w:pPr>
                  <w:r>
                    <w:rPr>
                      <w:rFonts w:eastAsia="Times New Roman"/>
                      <w:color w:val="000000"/>
                      <w:lang w:val="es-PE"/>
                    </w:rPr>
                    <w:t>108,</w:t>
                  </w:r>
                  <w:r w:rsidR="007A59FB" w:rsidRPr="00CB6F86">
                    <w:rPr>
                      <w:rFonts w:eastAsia="Times New Roman"/>
                      <w:color w:val="000000"/>
                      <w:lang w:val="es-PE"/>
                    </w:rPr>
                    <w:t>3</w:t>
                  </w:r>
                </w:p>
              </w:tc>
              <w:tc>
                <w:tcPr>
                  <w:tcW w:w="785" w:type="dxa"/>
                  <w:tcBorders>
                    <w:top w:val="nil"/>
                    <w:left w:val="single" w:sz="8" w:space="0" w:color="auto"/>
                    <w:bottom w:val="single" w:sz="8" w:space="0" w:color="auto"/>
                    <w:right w:val="single" w:sz="8" w:space="0" w:color="000000"/>
                  </w:tcBorders>
                  <w:shd w:val="clear" w:color="000000" w:fill="FFFFFF"/>
                  <w:vAlign w:val="center"/>
                  <w:hideMark/>
                </w:tcPr>
                <w:p w14:paraId="4DCCA26D" w14:textId="61DB669D" w:rsidR="007A59FB" w:rsidRPr="00CB6F86" w:rsidRDefault="00357368" w:rsidP="007A59FB">
                  <w:pPr>
                    <w:jc w:val="center"/>
                    <w:rPr>
                      <w:rFonts w:eastAsia="Times New Roman"/>
                      <w:color w:val="000000"/>
                      <w:lang w:val="en-US"/>
                    </w:rPr>
                  </w:pPr>
                  <w:r>
                    <w:rPr>
                      <w:rFonts w:eastAsia="Times New Roman"/>
                      <w:color w:val="000000"/>
                      <w:lang w:val="es-PE"/>
                    </w:rPr>
                    <w:t>102,</w:t>
                  </w:r>
                  <w:r w:rsidR="007A59FB" w:rsidRPr="00CB6F86">
                    <w:rPr>
                      <w:rFonts w:eastAsia="Times New Roman"/>
                      <w:color w:val="000000"/>
                      <w:lang w:val="es-PE"/>
                    </w:rPr>
                    <w:t>2</w:t>
                  </w:r>
                </w:p>
              </w:tc>
              <w:tc>
                <w:tcPr>
                  <w:tcW w:w="914" w:type="dxa"/>
                  <w:tcBorders>
                    <w:top w:val="nil"/>
                    <w:left w:val="nil"/>
                    <w:bottom w:val="single" w:sz="8" w:space="0" w:color="auto"/>
                    <w:right w:val="single" w:sz="8" w:space="0" w:color="000000"/>
                  </w:tcBorders>
                  <w:shd w:val="clear" w:color="000000" w:fill="FFFFFF"/>
                  <w:vAlign w:val="center"/>
                  <w:hideMark/>
                </w:tcPr>
                <w:p w14:paraId="3E800DDC" w14:textId="2EB4B187" w:rsidR="007A59FB" w:rsidRPr="00CB6F86" w:rsidRDefault="00357368" w:rsidP="007A59FB">
                  <w:pPr>
                    <w:jc w:val="center"/>
                    <w:rPr>
                      <w:rFonts w:eastAsia="Times New Roman"/>
                      <w:color w:val="000000"/>
                      <w:lang w:val="en-US"/>
                    </w:rPr>
                  </w:pPr>
                  <w:r>
                    <w:rPr>
                      <w:rFonts w:eastAsia="Times New Roman"/>
                      <w:color w:val="000000"/>
                      <w:lang w:val="es-PE"/>
                    </w:rPr>
                    <w:t>140,</w:t>
                  </w:r>
                  <w:r w:rsidR="007A59FB" w:rsidRPr="00CB6F86">
                    <w:rPr>
                      <w:rFonts w:eastAsia="Times New Roman"/>
                      <w:color w:val="000000"/>
                      <w:lang w:val="es-PE"/>
                    </w:rPr>
                    <w:t>2</w:t>
                  </w:r>
                </w:p>
              </w:tc>
              <w:tc>
                <w:tcPr>
                  <w:tcW w:w="1555" w:type="dxa"/>
                  <w:tcBorders>
                    <w:top w:val="nil"/>
                    <w:left w:val="nil"/>
                    <w:bottom w:val="single" w:sz="8" w:space="0" w:color="auto"/>
                    <w:right w:val="single" w:sz="8" w:space="0" w:color="auto"/>
                  </w:tcBorders>
                  <w:shd w:val="clear" w:color="000000" w:fill="FFFFFF"/>
                  <w:vAlign w:val="center"/>
                  <w:hideMark/>
                </w:tcPr>
                <w:p w14:paraId="51A077BA" w14:textId="1A95F85B" w:rsidR="007A59FB" w:rsidRPr="00CB6F86" w:rsidRDefault="00357368" w:rsidP="007A59FB">
                  <w:pPr>
                    <w:jc w:val="center"/>
                    <w:rPr>
                      <w:rFonts w:eastAsia="Times New Roman"/>
                      <w:color w:val="000000"/>
                      <w:lang w:val="en-US"/>
                    </w:rPr>
                  </w:pPr>
                  <w:r>
                    <w:rPr>
                      <w:rFonts w:eastAsia="Times New Roman"/>
                      <w:color w:val="000000"/>
                      <w:lang w:val="es-PE"/>
                    </w:rPr>
                    <w:t>5,</w:t>
                  </w:r>
                  <w:r w:rsidR="007A59FB" w:rsidRPr="00CB6F86">
                    <w:rPr>
                      <w:rFonts w:eastAsia="Times New Roman"/>
                      <w:color w:val="000000"/>
                      <w:lang w:val="es-PE"/>
                    </w:rPr>
                    <w:t>8</w:t>
                  </w:r>
                </w:p>
              </w:tc>
              <w:tc>
                <w:tcPr>
                  <w:tcW w:w="914" w:type="dxa"/>
                  <w:tcBorders>
                    <w:top w:val="nil"/>
                    <w:left w:val="nil"/>
                    <w:bottom w:val="single" w:sz="8" w:space="0" w:color="auto"/>
                    <w:right w:val="single" w:sz="8" w:space="0" w:color="000000"/>
                  </w:tcBorders>
                  <w:shd w:val="clear" w:color="000000" w:fill="FFFFFF"/>
                  <w:vAlign w:val="center"/>
                  <w:hideMark/>
                </w:tcPr>
                <w:p w14:paraId="141E0D5D" w14:textId="657E6136" w:rsidR="007A59FB" w:rsidRPr="00CB6F86" w:rsidRDefault="00357368" w:rsidP="007A59FB">
                  <w:pPr>
                    <w:jc w:val="center"/>
                    <w:rPr>
                      <w:rFonts w:eastAsia="Times New Roman"/>
                      <w:color w:val="000000"/>
                      <w:lang w:val="en-US"/>
                    </w:rPr>
                  </w:pPr>
                  <w:r>
                    <w:rPr>
                      <w:rFonts w:eastAsia="Times New Roman"/>
                      <w:color w:val="000000"/>
                      <w:lang w:val="es-PE"/>
                    </w:rPr>
                    <w:t>139,</w:t>
                  </w:r>
                  <w:r w:rsidR="007A59FB" w:rsidRPr="00CB6F86">
                    <w:rPr>
                      <w:rFonts w:eastAsia="Times New Roman"/>
                      <w:color w:val="000000"/>
                      <w:lang w:val="es-PE"/>
                    </w:rPr>
                    <w:t>7</w:t>
                  </w:r>
                </w:p>
              </w:tc>
              <w:tc>
                <w:tcPr>
                  <w:tcW w:w="914" w:type="dxa"/>
                  <w:tcBorders>
                    <w:top w:val="nil"/>
                    <w:left w:val="nil"/>
                    <w:bottom w:val="single" w:sz="8" w:space="0" w:color="auto"/>
                    <w:right w:val="single" w:sz="8" w:space="0" w:color="000000"/>
                  </w:tcBorders>
                  <w:shd w:val="clear" w:color="000000" w:fill="FFFFFF"/>
                  <w:vAlign w:val="center"/>
                  <w:hideMark/>
                </w:tcPr>
                <w:p w14:paraId="5FF366C0" w14:textId="43BDD9F3" w:rsidR="007A59FB" w:rsidRPr="00CB6F86" w:rsidRDefault="00357368" w:rsidP="007A59FB">
                  <w:pPr>
                    <w:jc w:val="center"/>
                    <w:rPr>
                      <w:rFonts w:eastAsia="Times New Roman"/>
                      <w:color w:val="000000"/>
                      <w:lang w:val="en-US"/>
                    </w:rPr>
                  </w:pPr>
                  <w:r>
                    <w:rPr>
                      <w:rFonts w:eastAsia="Times New Roman"/>
                      <w:color w:val="000000"/>
                      <w:lang w:val="es-PE"/>
                    </w:rPr>
                    <w:t>142,</w:t>
                  </w:r>
                  <w:r w:rsidR="007A59FB" w:rsidRPr="00CB6F86">
                    <w:rPr>
                      <w:rFonts w:eastAsia="Times New Roman"/>
                      <w:color w:val="000000"/>
                      <w:lang w:val="es-PE"/>
                    </w:rPr>
                    <w:t>6</w:t>
                  </w:r>
                </w:p>
              </w:tc>
              <w:tc>
                <w:tcPr>
                  <w:tcW w:w="1272" w:type="dxa"/>
                  <w:tcBorders>
                    <w:top w:val="nil"/>
                    <w:left w:val="nil"/>
                    <w:bottom w:val="single" w:sz="8" w:space="0" w:color="auto"/>
                    <w:right w:val="single" w:sz="8" w:space="0" w:color="auto"/>
                  </w:tcBorders>
                  <w:shd w:val="clear" w:color="000000" w:fill="FFFFFF"/>
                  <w:vAlign w:val="center"/>
                  <w:hideMark/>
                </w:tcPr>
                <w:p w14:paraId="17B9B5E9" w14:textId="2EDFD823" w:rsidR="007A59FB" w:rsidRPr="00CB6F86" w:rsidRDefault="00357368" w:rsidP="007A59FB">
                  <w:pPr>
                    <w:jc w:val="center"/>
                    <w:rPr>
                      <w:rFonts w:eastAsia="Times New Roman"/>
                      <w:color w:val="000000"/>
                      <w:lang w:val="en-US"/>
                    </w:rPr>
                  </w:pPr>
                  <w:r>
                    <w:rPr>
                      <w:rFonts w:eastAsia="Times New Roman"/>
                      <w:color w:val="000000"/>
                      <w:lang w:val="es-PE"/>
                    </w:rPr>
                    <w:t>4,</w:t>
                  </w:r>
                  <w:r w:rsidR="007A59FB" w:rsidRPr="00CB6F86">
                    <w:rPr>
                      <w:rFonts w:eastAsia="Times New Roman"/>
                      <w:color w:val="000000"/>
                      <w:lang w:val="es-PE"/>
                    </w:rPr>
                    <w:t>5</w:t>
                  </w:r>
                </w:p>
              </w:tc>
            </w:tr>
            <w:tr w:rsidR="002C7444" w:rsidRPr="00CB6F86" w14:paraId="319331B4" w14:textId="77777777" w:rsidTr="002C7444">
              <w:trPr>
                <w:gridAfter w:val="1"/>
                <w:wAfter w:w="7" w:type="dxa"/>
                <w:trHeight w:val="292"/>
              </w:trPr>
              <w:tc>
                <w:tcPr>
                  <w:tcW w:w="2490"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2F73D4C" w14:textId="77777777" w:rsidR="007A59FB" w:rsidRPr="00CB6F86" w:rsidRDefault="007A59FB" w:rsidP="007A59FB">
                  <w:pPr>
                    <w:rPr>
                      <w:rFonts w:eastAsia="Times New Roman"/>
                      <w:color w:val="000000"/>
                      <w:lang w:val="es-CL"/>
                    </w:rPr>
                  </w:pPr>
                  <w:r w:rsidRPr="00CB6F86">
                    <w:rPr>
                      <w:rFonts w:eastAsia="Times New Roman"/>
                      <w:color w:val="000000"/>
                      <w:lang w:val="es-PE"/>
                    </w:rPr>
                    <w:t>5.Balance de la cuenta corriente como % del PBI</w:t>
                  </w:r>
                </w:p>
              </w:tc>
              <w:tc>
                <w:tcPr>
                  <w:tcW w:w="785" w:type="dxa"/>
                  <w:tcBorders>
                    <w:top w:val="nil"/>
                    <w:left w:val="nil"/>
                    <w:bottom w:val="nil"/>
                    <w:right w:val="single" w:sz="8" w:space="0" w:color="auto"/>
                  </w:tcBorders>
                  <w:shd w:val="clear" w:color="000000" w:fill="FFFFFF"/>
                  <w:noWrap/>
                  <w:vAlign w:val="center"/>
                  <w:hideMark/>
                </w:tcPr>
                <w:p w14:paraId="71F75E0E" w14:textId="5452E01A" w:rsidR="007A59FB" w:rsidRPr="00CB6F86" w:rsidRDefault="00357368" w:rsidP="007A59FB">
                  <w:pPr>
                    <w:jc w:val="center"/>
                    <w:rPr>
                      <w:rFonts w:eastAsia="Times New Roman"/>
                      <w:color w:val="000000"/>
                      <w:lang w:val="en-US"/>
                    </w:rPr>
                  </w:pPr>
                  <w:r>
                    <w:rPr>
                      <w:rFonts w:eastAsia="Times New Roman"/>
                      <w:color w:val="000000"/>
                      <w:lang w:val="es-PE"/>
                    </w:rPr>
                    <w:t>4,</w:t>
                  </w:r>
                  <w:r w:rsidR="007A59FB" w:rsidRPr="00CB6F86">
                    <w:rPr>
                      <w:rFonts w:eastAsia="Times New Roman"/>
                      <w:color w:val="000000"/>
                      <w:lang w:val="es-PE"/>
                    </w:rPr>
                    <w:t>2%</w:t>
                  </w:r>
                </w:p>
              </w:tc>
              <w:tc>
                <w:tcPr>
                  <w:tcW w:w="784" w:type="dxa"/>
                  <w:tcBorders>
                    <w:top w:val="nil"/>
                    <w:left w:val="nil"/>
                    <w:bottom w:val="nil"/>
                    <w:right w:val="nil"/>
                  </w:tcBorders>
                  <w:shd w:val="clear" w:color="000000" w:fill="FFFFFF"/>
                  <w:vAlign w:val="center"/>
                  <w:hideMark/>
                </w:tcPr>
                <w:p w14:paraId="39E029EF" w14:textId="00A79653" w:rsidR="007A59FB" w:rsidRPr="00CB6F86" w:rsidRDefault="00357368" w:rsidP="007A59FB">
                  <w:pPr>
                    <w:jc w:val="center"/>
                    <w:rPr>
                      <w:rFonts w:eastAsia="Times New Roman"/>
                      <w:color w:val="000000"/>
                      <w:lang w:val="en-US"/>
                    </w:rPr>
                  </w:pPr>
                  <w:r>
                    <w:rPr>
                      <w:rFonts w:eastAsia="Times New Roman"/>
                      <w:color w:val="000000"/>
                      <w:lang w:val="es-PE"/>
                    </w:rPr>
                    <w:t>-3,</w:t>
                  </w:r>
                  <w:r w:rsidR="007A59FB" w:rsidRPr="00CB6F86">
                    <w:rPr>
                      <w:rFonts w:eastAsia="Times New Roman"/>
                      <w:color w:val="000000"/>
                      <w:lang w:val="es-PE"/>
                    </w:rPr>
                    <w:t>6%</w:t>
                  </w:r>
                </w:p>
              </w:tc>
              <w:tc>
                <w:tcPr>
                  <w:tcW w:w="78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67B5908F" w14:textId="48728AD2" w:rsidR="007A59FB" w:rsidRPr="00CB6F86" w:rsidRDefault="00357368" w:rsidP="007A59FB">
                  <w:pPr>
                    <w:jc w:val="center"/>
                    <w:rPr>
                      <w:rFonts w:eastAsia="Times New Roman"/>
                      <w:color w:val="000000"/>
                      <w:lang w:val="en-US"/>
                    </w:rPr>
                  </w:pPr>
                  <w:r>
                    <w:rPr>
                      <w:rFonts w:eastAsia="Times New Roman"/>
                      <w:color w:val="000000"/>
                      <w:lang w:val="es-PE"/>
                    </w:rPr>
                    <w:t>2,</w:t>
                  </w:r>
                  <w:r w:rsidR="007A59FB" w:rsidRPr="00CB6F86">
                    <w:rPr>
                      <w:rFonts w:eastAsia="Times New Roman"/>
                      <w:color w:val="000000"/>
                      <w:lang w:val="es-PE"/>
                    </w:rPr>
                    <w:t>1%</w:t>
                  </w:r>
                </w:p>
              </w:tc>
              <w:tc>
                <w:tcPr>
                  <w:tcW w:w="914" w:type="dxa"/>
                  <w:tcBorders>
                    <w:top w:val="single" w:sz="8" w:space="0" w:color="auto"/>
                    <w:left w:val="nil"/>
                    <w:bottom w:val="single" w:sz="8" w:space="0" w:color="auto"/>
                    <w:right w:val="single" w:sz="8" w:space="0" w:color="000000"/>
                  </w:tcBorders>
                  <w:shd w:val="clear" w:color="000000" w:fill="FFFFFF"/>
                  <w:vAlign w:val="center"/>
                  <w:hideMark/>
                </w:tcPr>
                <w:p w14:paraId="3B77BCE1" w14:textId="016EE480" w:rsidR="007A59FB" w:rsidRPr="00CB6F86" w:rsidRDefault="00357368" w:rsidP="007A59FB">
                  <w:pPr>
                    <w:jc w:val="center"/>
                    <w:rPr>
                      <w:rFonts w:eastAsia="Times New Roman"/>
                      <w:color w:val="000000"/>
                      <w:lang w:val="en-US"/>
                    </w:rPr>
                  </w:pPr>
                  <w:r>
                    <w:rPr>
                      <w:rFonts w:eastAsia="Times New Roman"/>
                      <w:color w:val="000000"/>
                      <w:lang w:val="es-PE"/>
                    </w:rPr>
                    <w:t>-3,</w:t>
                  </w:r>
                  <w:r w:rsidR="007A59FB" w:rsidRPr="00CB6F86">
                    <w:rPr>
                      <w:rFonts w:eastAsia="Times New Roman"/>
                      <w:color w:val="000000"/>
                      <w:lang w:val="es-PE"/>
                    </w:rPr>
                    <w:t>8%</w:t>
                  </w:r>
                </w:p>
              </w:tc>
              <w:tc>
                <w:tcPr>
                  <w:tcW w:w="1555" w:type="dxa"/>
                  <w:tcBorders>
                    <w:top w:val="nil"/>
                    <w:left w:val="nil"/>
                    <w:bottom w:val="nil"/>
                    <w:right w:val="nil"/>
                  </w:tcBorders>
                  <w:shd w:val="clear" w:color="000000" w:fill="FFFFFF"/>
                  <w:vAlign w:val="center"/>
                  <w:hideMark/>
                </w:tcPr>
                <w:p w14:paraId="7B95D209" w14:textId="7C84ECFB" w:rsidR="007A59FB" w:rsidRPr="00CB6F86" w:rsidRDefault="00357368" w:rsidP="007A59FB">
                  <w:pPr>
                    <w:jc w:val="center"/>
                    <w:rPr>
                      <w:rFonts w:eastAsia="Times New Roman"/>
                      <w:color w:val="000000"/>
                      <w:lang w:val="en-US"/>
                    </w:rPr>
                  </w:pPr>
                  <w:r>
                    <w:rPr>
                      <w:rFonts w:eastAsia="Times New Roman"/>
                      <w:color w:val="000000"/>
                      <w:lang w:val="es-PE"/>
                    </w:rPr>
                    <w:t>-1,</w:t>
                  </w:r>
                  <w:r w:rsidR="007A59FB" w:rsidRPr="00CB6F86">
                    <w:rPr>
                      <w:rFonts w:eastAsia="Times New Roman"/>
                      <w:color w:val="000000"/>
                      <w:lang w:val="es-PE"/>
                    </w:rPr>
                    <w:t>4%*</w:t>
                  </w:r>
                </w:p>
              </w:tc>
              <w:tc>
                <w:tcPr>
                  <w:tcW w:w="914"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3DA79C5B" w14:textId="6B9901B0" w:rsidR="007A59FB" w:rsidRPr="00CB6F86" w:rsidRDefault="00357368" w:rsidP="007A59FB">
                  <w:pPr>
                    <w:jc w:val="center"/>
                    <w:rPr>
                      <w:rFonts w:eastAsia="Times New Roman"/>
                      <w:color w:val="000000"/>
                      <w:lang w:val="en-US"/>
                    </w:rPr>
                  </w:pPr>
                  <w:r>
                    <w:rPr>
                      <w:rFonts w:eastAsia="Times New Roman"/>
                      <w:color w:val="000000"/>
                      <w:lang w:val="es-PE"/>
                    </w:rPr>
                    <w:t>-1,</w:t>
                  </w:r>
                  <w:r w:rsidR="007A59FB" w:rsidRPr="00CB6F86">
                    <w:rPr>
                      <w:rFonts w:eastAsia="Times New Roman"/>
                      <w:color w:val="000000"/>
                      <w:lang w:val="es-PE"/>
                    </w:rPr>
                    <w:t>3%</w:t>
                  </w:r>
                </w:p>
              </w:tc>
              <w:tc>
                <w:tcPr>
                  <w:tcW w:w="914" w:type="dxa"/>
                  <w:tcBorders>
                    <w:top w:val="single" w:sz="8" w:space="0" w:color="auto"/>
                    <w:left w:val="nil"/>
                    <w:bottom w:val="single" w:sz="8" w:space="0" w:color="auto"/>
                    <w:right w:val="single" w:sz="8" w:space="0" w:color="000000"/>
                  </w:tcBorders>
                  <w:shd w:val="clear" w:color="000000" w:fill="FFFFFF"/>
                  <w:vAlign w:val="center"/>
                  <w:hideMark/>
                </w:tcPr>
                <w:p w14:paraId="622616EA" w14:textId="0AF4B55A" w:rsidR="007A59FB" w:rsidRPr="00CB6F86" w:rsidRDefault="00357368" w:rsidP="007A59FB">
                  <w:pPr>
                    <w:jc w:val="center"/>
                    <w:rPr>
                      <w:rFonts w:eastAsia="Times New Roman"/>
                      <w:color w:val="000000"/>
                      <w:lang w:val="en-US"/>
                    </w:rPr>
                  </w:pPr>
                  <w:r>
                    <w:rPr>
                      <w:rFonts w:eastAsia="Times New Roman"/>
                      <w:color w:val="000000"/>
                      <w:lang w:val="es-PE"/>
                    </w:rPr>
                    <w:t>-2,</w:t>
                  </w:r>
                  <w:r w:rsidR="007A59FB" w:rsidRPr="00CB6F86">
                    <w:rPr>
                      <w:rFonts w:eastAsia="Times New Roman"/>
                      <w:color w:val="000000"/>
                      <w:lang w:val="es-PE"/>
                    </w:rPr>
                    <w:t>1%</w:t>
                  </w:r>
                </w:p>
              </w:tc>
              <w:tc>
                <w:tcPr>
                  <w:tcW w:w="1272" w:type="dxa"/>
                  <w:tcBorders>
                    <w:top w:val="nil"/>
                    <w:left w:val="nil"/>
                    <w:bottom w:val="nil"/>
                    <w:right w:val="single" w:sz="8" w:space="0" w:color="auto"/>
                  </w:tcBorders>
                  <w:shd w:val="clear" w:color="000000" w:fill="FFFFFF"/>
                  <w:vAlign w:val="center"/>
                  <w:hideMark/>
                </w:tcPr>
                <w:p w14:paraId="6A49F043" w14:textId="57D990A1" w:rsidR="007A59FB" w:rsidRPr="00CB6F86" w:rsidRDefault="00357368" w:rsidP="007A59FB">
                  <w:pPr>
                    <w:jc w:val="center"/>
                    <w:rPr>
                      <w:rFonts w:eastAsia="Times New Roman"/>
                      <w:color w:val="000000"/>
                      <w:lang w:val="en-US"/>
                    </w:rPr>
                  </w:pPr>
                  <w:r>
                    <w:rPr>
                      <w:rFonts w:eastAsia="Times New Roman"/>
                      <w:color w:val="000000"/>
                      <w:lang w:val="es-PE"/>
                    </w:rPr>
                    <w:t>-1,</w:t>
                  </w:r>
                  <w:r w:rsidR="007A59FB" w:rsidRPr="00CB6F86">
                    <w:rPr>
                      <w:rFonts w:eastAsia="Times New Roman"/>
                      <w:color w:val="000000"/>
                      <w:lang w:val="es-PE"/>
                    </w:rPr>
                    <w:t>5%*</w:t>
                  </w:r>
                </w:p>
              </w:tc>
            </w:tr>
            <w:tr w:rsidR="007A59FB" w:rsidRPr="00CB6F86" w14:paraId="04E653EB" w14:textId="77777777" w:rsidTr="002C7444">
              <w:trPr>
                <w:trHeight w:val="278"/>
              </w:trPr>
              <w:tc>
                <w:tcPr>
                  <w:tcW w:w="10420" w:type="dxa"/>
                  <w:gridSpan w:val="10"/>
                  <w:tcBorders>
                    <w:top w:val="single" w:sz="8" w:space="0" w:color="auto"/>
                    <w:left w:val="nil"/>
                    <w:bottom w:val="nil"/>
                    <w:right w:val="nil"/>
                  </w:tcBorders>
                  <w:shd w:val="clear" w:color="auto" w:fill="auto"/>
                  <w:vAlign w:val="center"/>
                  <w:hideMark/>
                </w:tcPr>
                <w:p w14:paraId="76E6876D" w14:textId="275EBFE8" w:rsidR="007A59FB" w:rsidRPr="00CB6F86" w:rsidRDefault="007A59FB" w:rsidP="00723E18">
                  <w:pPr>
                    <w:jc w:val="both"/>
                    <w:rPr>
                      <w:rFonts w:eastAsia="Times New Roman"/>
                      <w:b/>
                      <w:bCs/>
                      <w:color w:val="000000"/>
                      <w:lang w:val="es-CL"/>
                    </w:rPr>
                  </w:pPr>
                  <w:r w:rsidRPr="00CB6F86">
                    <w:rPr>
                      <w:rFonts w:eastAsia="Times New Roman"/>
                      <w:b/>
                      <w:bCs/>
                      <w:color w:val="000000"/>
                      <w:lang w:val="es-PE"/>
                    </w:rPr>
                    <w:t xml:space="preserve">Fuente: </w:t>
                  </w:r>
                  <w:r w:rsidRPr="00CB6F86">
                    <w:rPr>
                      <w:rFonts w:eastAsia="Times New Roman"/>
                      <w:color w:val="000000"/>
                      <w:lang w:val="es-PE"/>
                    </w:rPr>
                    <w:t xml:space="preserve">Tomado de Ffrench-Davis (2014, </w:t>
                  </w:r>
                  <w:r w:rsidR="00723E18">
                    <w:rPr>
                      <w:rFonts w:eastAsia="Times New Roman"/>
                      <w:color w:val="000000"/>
                      <w:lang w:val="es-PE"/>
                    </w:rPr>
                    <w:t>cuadro</w:t>
                  </w:r>
                  <w:r w:rsidRPr="00CB6F86">
                    <w:rPr>
                      <w:rFonts w:eastAsia="Times New Roman"/>
                      <w:color w:val="000000"/>
                      <w:lang w:val="es-PE"/>
                    </w:rPr>
                    <w:t xml:space="preserve"> X.5), actualizado a 2015 con cifras del Banco Central. </w:t>
                  </w:r>
                </w:p>
              </w:tc>
            </w:tr>
            <w:tr w:rsidR="007A59FB" w:rsidRPr="00CB6F86" w14:paraId="66D4A181" w14:textId="77777777" w:rsidTr="002C7444">
              <w:trPr>
                <w:trHeight w:val="278"/>
              </w:trPr>
              <w:tc>
                <w:tcPr>
                  <w:tcW w:w="10420" w:type="dxa"/>
                  <w:gridSpan w:val="10"/>
                  <w:tcBorders>
                    <w:top w:val="nil"/>
                    <w:left w:val="nil"/>
                    <w:bottom w:val="nil"/>
                    <w:right w:val="nil"/>
                  </w:tcBorders>
                  <w:shd w:val="clear" w:color="auto" w:fill="auto"/>
                  <w:noWrap/>
                  <w:vAlign w:val="center"/>
                  <w:hideMark/>
                </w:tcPr>
                <w:p w14:paraId="132E0077" w14:textId="17BF83F0" w:rsidR="007A59FB" w:rsidRPr="00CB6F86" w:rsidRDefault="007A59FB" w:rsidP="00723E18">
                  <w:pPr>
                    <w:jc w:val="both"/>
                    <w:rPr>
                      <w:rFonts w:eastAsia="Times New Roman"/>
                      <w:b/>
                      <w:bCs/>
                      <w:color w:val="000000"/>
                      <w:lang w:val="es-CL"/>
                    </w:rPr>
                  </w:pPr>
                  <w:r w:rsidRPr="00CB6F86">
                    <w:rPr>
                      <w:rFonts w:eastAsia="Times New Roman"/>
                      <w:b/>
                      <w:bCs/>
                      <w:color w:val="000000"/>
                      <w:lang w:val="es-PE"/>
                    </w:rPr>
                    <w:t>Nota*:</w:t>
                  </w:r>
                  <w:r w:rsidRPr="00CB6F86">
                    <w:rPr>
                      <w:rFonts w:eastAsia="Times New Roman"/>
                      <w:color w:val="000000"/>
                      <w:lang w:val="es-PE"/>
                    </w:rPr>
                    <w:t xml:space="preserve"> Corresponde a la participación promedio del balance en cuenta corriente </w:t>
                  </w:r>
                  <w:r w:rsidR="00723E18">
                    <w:rPr>
                      <w:rFonts w:eastAsia="Times New Roman"/>
                      <w:color w:val="000000"/>
                      <w:lang w:val="es-PE"/>
                    </w:rPr>
                    <w:t xml:space="preserve">como proporción </w:t>
                  </w:r>
                  <w:r w:rsidRPr="00CB6F86">
                    <w:rPr>
                      <w:rFonts w:eastAsia="Times New Roman"/>
                      <w:color w:val="000000"/>
                      <w:lang w:val="es-PE"/>
                    </w:rPr>
                    <w:t>del PBI en 2008–2013 y 2008-2015, respectivamente.</w:t>
                  </w:r>
                </w:p>
              </w:tc>
            </w:tr>
          </w:tbl>
          <w:p w14:paraId="11EF349C" w14:textId="77777777" w:rsidR="007A59FB" w:rsidRDefault="007A59FB" w:rsidP="007A59FB">
            <w:pPr>
              <w:rPr>
                <w:b/>
                <w:bCs/>
                <w:sz w:val="24"/>
                <w:szCs w:val="24"/>
                <w:lang w:val="es-PE"/>
              </w:rPr>
            </w:pPr>
          </w:p>
          <w:p w14:paraId="347D63CE" w14:textId="77777777" w:rsidR="007A59FB" w:rsidRDefault="007A59FB" w:rsidP="007A59FB">
            <w:pPr>
              <w:rPr>
                <w:b/>
                <w:bCs/>
                <w:sz w:val="24"/>
                <w:szCs w:val="24"/>
                <w:lang w:val="es-PE"/>
              </w:rPr>
            </w:pPr>
          </w:p>
          <w:p w14:paraId="496AA33D" w14:textId="77777777" w:rsidR="007A59FB" w:rsidRDefault="007A59FB" w:rsidP="007A59FB">
            <w:pPr>
              <w:rPr>
                <w:b/>
                <w:bCs/>
                <w:sz w:val="24"/>
                <w:szCs w:val="24"/>
                <w:lang w:val="es-PE"/>
              </w:rPr>
            </w:pPr>
          </w:p>
          <w:p w14:paraId="4453D4CD" w14:textId="77777777" w:rsidR="007A59FB" w:rsidRPr="00D068A6" w:rsidRDefault="007A59FB" w:rsidP="007A59FB">
            <w:pPr>
              <w:jc w:val="center"/>
              <w:rPr>
                <w:b/>
                <w:bCs/>
                <w:sz w:val="24"/>
                <w:szCs w:val="24"/>
                <w:lang w:val="es-PE"/>
              </w:rPr>
            </w:pPr>
            <w:r w:rsidRPr="00D068A6">
              <w:rPr>
                <w:b/>
                <w:bCs/>
                <w:sz w:val="24"/>
                <w:szCs w:val="24"/>
                <w:lang w:val="es-PE"/>
              </w:rPr>
              <w:t>Gráfico 1. Tipo de Cambio Real, 1999-2015</w:t>
            </w:r>
          </w:p>
          <w:p w14:paraId="5F179556" w14:textId="77777777" w:rsidR="007A59FB" w:rsidRPr="00D068A6" w:rsidRDefault="007A59FB" w:rsidP="007A59FB">
            <w:pPr>
              <w:jc w:val="center"/>
              <w:rPr>
                <w:b/>
                <w:bCs/>
                <w:lang w:val="es-PE"/>
              </w:rPr>
            </w:pPr>
            <w:r w:rsidRPr="00D068A6">
              <w:rPr>
                <w:b/>
                <w:bCs/>
                <w:lang w:val="es-PE"/>
              </w:rPr>
              <w:t>(índice de TCR 1986=100)</w:t>
            </w:r>
          </w:p>
          <w:p w14:paraId="26C8EE6B" w14:textId="77777777" w:rsidR="007A59FB" w:rsidRPr="00D068A6" w:rsidRDefault="007A59FB" w:rsidP="007A59FB">
            <w:pPr>
              <w:ind w:left="-1134"/>
              <w:jc w:val="center"/>
              <w:rPr>
                <w:lang w:val="es-PE"/>
              </w:rPr>
            </w:pPr>
            <w:r w:rsidRPr="00D068A6">
              <w:rPr>
                <w:noProof/>
                <w:lang w:val="es-CL" w:eastAsia="es-CL"/>
              </w:rPr>
              <w:drawing>
                <wp:inline distT="0" distB="0" distL="0" distR="0" wp14:anchorId="2FA210C7" wp14:editId="47116F17">
                  <wp:extent cx="6800850" cy="30861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6F411D" w14:textId="77777777" w:rsidR="007A59FB" w:rsidRPr="00D068A6" w:rsidRDefault="007A59FB" w:rsidP="007A59FB">
            <w:pPr>
              <w:pStyle w:val="Sinespaciado"/>
              <w:jc w:val="center"/>
              <w:rPr>
                <w:sz w:val="20"/>
                <w:lang w:val="es-PE"/>
              </w:rPr>
            </w:pPr>
          </w:p>
          <w:p w14:paraId="79A7517A" w14:textId="77777777" w:rsidR="00055FA2" w:rsidRDefault="007A59FB" w:rsidP="00357368">
            <w:pPr>
              <w:rPr>
                <w:lang w:val="es-PE"/>
              </w:rPr>
            </w:pPr>
            <w:r w:rsidRPr="00D068A6">
              <w:rPr>
                <w:b/>
                <w:bCs/>
                <w:lang w:val="es-PE"/>
              </w:rPr>
              <w:t>Fuente:</w:t>
            </w:r>
            <w:r w:rsidRPr="00D068A6">
              <w:rPr>
                <w:lang w:val="es-PE"/>
              </w:rPr>
              <w:t xml:space="preserve"> Ffrench-Davis (2014, gráfico A.3), basado en estimación del Banco Central del </w:t>
            </w:r>
            <w:r w:rsidR="00055FA2">
              <w:rPr>
                <w:lang w:val="es-PE"/>
              </w:rPr>
              <w:t>TCR</w:t>
            </w:r>
            <w:r w:rsidRPr="00D068A6">
              <w:rPr>
                <w:lang w:val="es-PE"/>
              </w:rPr>
              <w:t xml:space="preserve"> del peso respecto</w:t>
            </w:r>
            <w:r w:rsidR="00055FA2">
              <w:rPr>
                <w:lang w:val="es-PE"/>
              </w:rPr>
              <w:t xml:space="preserve"> </w:t>
            </w:r>
            <w:r w:rsidRPr="00D068A6">
              <w:rPr>
                <w:lang w:val="es-PE"/>
              </w:rPr>
              <w:t xml:space="preserve"> a una amplia canasta</w:t>
            </w:r>
          </w:p>
          <w:p w14:paraId="105DA64D" w14:textId="22EDA27E" w:rsidR="00055FA2" w:rsidRDefault="007A59FB" w:rsidP="00357368">
            <w:pPr>
              <w:rPr>
                <w:lang w:val="es-PE"/>
              </w:rPr>
            </w:pPr>
            <w:r w:rsidRPr="00D068A6">
              <w:rPr>
                <w:lang w:val="es-PE"/>
              </w:rPr>
              <w:t xml:space="preserve">de monedas. </w:t>
            </w:r>
            <w:r w:rsidRPr="00D068A6">
              <w:rPr>
                <w:b/>
                <w:bCs/>
                <w:lang w:val="es-PE"/>
              </w:rPr>
              <w:t>Nota:</w:t>
            </w:r>
            <w:r w:rsidRPr="00D068A6">
              <w:rPr>
                <w:lang w:val="es-PE"/>
              </w:rPr>
              <w:t xml:space="preserve"> La brecha entre la recta y la línea punteada muestra el ajuste compensador del TCR requerido para mantener la </w:t>
            </w:r>
          </w:p>
          <w:p w14:paraId="4FAEDF4D" w14:textId="77777777" w:rsidR="00055FA2" w:rsidRDefault="007A59FB" w:rsidP="00357368">
            <w:pPr>
              <w:rPr>
                <w:lang w:val="es-PE"/>
              </w:rPr>
            </w:pPr>
            <w:r w:rsidRPr="00D068A6">
              <w:rPr>
                <w:lang w:val="es-PE"/>
              </w:rPr>
              <w:t>competitividad de la producción de transables, considerando la reducción de aranceles desde un promedio de 11%</w:t>
            </w:r>
            <w:r>
              <w:rPr>
                <w:lang w:val="es-PE"/>
              </w:rPr>
              <w:t xml:space="preserve"> </w:t>
            </w:r>
            <w:r w:rsidR="0081383C">
              <w:rPr>
                <w:lang w:val="es-PE"/>
              </w:rPr>
              <w:t>en</w:t>
            </w:r>
            <w:r w:rsidR="00055FA2">
              <w:rPr>
                <w:lang w:val="es-PE"/>
              </w:rPr>
              <w:t xml:space="preserve"> </w:t>
            </w:r>
            <w:r w:rsidRPr="00D068A6">
              <w:rPr>
                <w:lang w:val="es-PE"/>
              </w:rPr>
              <w:t xml:space="preserve">1999 a 1% </w:t>
            </w:r>
          </w:p>
          <w:p w14:paraId="649BD0BA" w14:textId="77777777" w:rsidR="00055FA2" w:rsidRDefault="007A59FB" w:rsidP="00357368">
            <w:pPr>
              <w:rPr>
                <w:lang w:val="es-PE"/>
              </w:rPr>
            </w:pPr>
            <w:r w:rsidRPr="00D068A6">
              <w:rPr>
                <w:lang w:val="es-PE"/>
              </w:rPr>
              <w:t xml:space="preserve">desde 2004 y la  eliminación del 10% de reintegro simplificado de las exportaciones no tradicionales. Los números insertos sobre la </w:t>
            </w:r>
          </w:p>
          <w:p w14:paraId="18219888" w14:textId="5CF9DF31" w:rsidR="007A59FB" w:rsidRDefault="007A59FB" w:rsidP="00357368">
            <w:pPr>
              <w:rPr>
                <w:lang w:val="es-PE"/>
              </w:rPr>
            </w:pPr>
            <w:r w:rsidRPr="00D068A6">
              <w:rPr>
                <w:lang w:val="es-PE"/>
              </w:rPr>
              <w:t>curva de TCR, a título informativo, corresponden a promedios mensuales extremos del precio nominal del dólar</w:t>
            </w:r>
            <w:r w:rsidR="0081383C">
              <w:rPr>
                <w:lang w:val="es-PE"/>
              </w:rPr>
              <w:t xml:space="preserve"> en</w:t>
            </w:r>
            <w:r w:rsidR="00055FA2">
              <w:rPr>
                <w:lang w:val="es-PE"/>
              </w:rPr>
              <w:t xml:space="preserve"> </w:t>
            </w:r>
            <w:r w:rsidR="0081383C">
              <w:rPr>
                <w:lang w:val="es-PE"/>
              </w:rPr>
              <w:t>las</w:t>
            </w:r>
            <w:r w:rsidRPr="00D068A6">
              <w:rPr>
                <w:lang w:val="es-PE"/>
              </w:rPr>
              <w:t xml:space="preserve"> fechas respectivas.</w:t>
            </w:r>
          </w:p>
          <w:p w14:paraId="1B68887C" w14:textId="77777777" w:rsidR="008D6F65" w:rsidRDefault="008D6F65" w:rsidP="007A59FB">
            <w:pPr>
              <w:jc w:val="both"/>
              <w:rPr>
                <w:lang w:val="es-PE"/>
              </w:rPr>
            </w:pPr>
          </w:p>
          <w:p w14:paraId="5C0FCE52" w14:textId="06262A19" w:rsidR="00357368" w:rsidRPr="00D068A6" w:rsidRDefault="00357368" w:rsidP="00357368">
            <w:pPr>
              <w:jc w:val="center"/>
              <w:rPr>
                <w:b/>
                <w:bCs/>
                <w:sz w:val="24"/>
                <w:szCs w:val="24"/>
                <w:lang w:val="es-PE"/>
              </w:rPr>
            </w:pPr>
            <w:r>
              <w:rPr>
                <w:b/>
                <w:bCs/>
                <w:sz w:val="24"/>
                <w:szCs w:val="24"/>
                <w:lang w:val="es-PE"/>
              </w:rPr>
              <w:t>Gráfico 2</w:t>
            </w:r>
            <w:r w:rsidRPr="00D068A6">
              <w:rPr>
                <w:b/>
                <w:bCs/>
                <w:sz w:val="24"/>
                <w:szCs w:val="24"/>
                <w:lang w:val="es-PE"/>
              </w:rPr>
              <w:t xml:space="preserve">. </w:t>
            </w:r>
            <w:r>
              <w:rPr>
                <w:b/>
                <w:bCs/>
                <w:sz w:val="24"/>
                <w:szCs w:val="24"/>
                <w:lang w:val="es-PE"/>
              </w:rPr>
              <w:t>Tasas de crecimiento del PBI en Chile y América Latina, 2013-2015</w:t>
            </w:r>
            <w:r w:rsidRPr="00D068A6">
              <w:rPr>
                <w:b/>
                <w:bCs/>
                <w:sz w:val="24"/>
                <w:szCs w:val="24"/>
                <w:lang w:val="es-PE"/>
              </w:rPr>
              <w:t xml:space="preserve"> </w:t>
            </w:r>
          </w:p>
          <w:p w14:paraId="656B14D3" w14:textId="377C6992" w:rsidR="00357368" w:rsidRPr="00D068A6" w:rsidRDefault="00357368" w:rsidP="00357368">
            <w:pPr>
              <w:jc w:val="center"/>
              <w:rPr>
                <w:b/>
                <w:bCs/>
                <w:lang w:val="es-PE"/>
              </w:rPr>
            </w:pPr>
            <w:r w:rsidRPr="00D068A6">
              <w:rPr>
                <w:b/>
                <w:bCs/>
                <w:lang w:val="es-PE"/>
              </w:rPr>
              <w:t>(</w:t>
            </w:r>
            <w:r>
              <w:rPr>
                <w:b/>
                <w:bCs/>
                <w:lang w:val="es-PE"/>
              </w:rPr>
              <w:t>tasas de variación anual</w:t>
            </w:r>
            <w:r w:rsidRPr="00D068A6">
              <w:rPr>
                <w:b/>
                <w:bCs/>
                <w:lang w:val="es-PE"/>
              </w:rPr>
              <w:t>)</w:t>
            </w:r>
          </w:p>
          <w:p w14:paraId="5B516155" w14:textId="77777777" w:rsidR="00357368" w:rsidRPr="00D068A6" w:rsidRDefault="00357368" w:rsidP="007A59FB">
            <w:pPr>
              <w:jc w:val="both"/>
              <w:rPr>
                <w:lang w:val="es-PE"/>
              </w:rPr>
            </w:pPr>
          </w:p>
          <w:p w14:paraId="5BE54636" w14:textId="77777777" w:rsidR="007A59FB" w:rsidRPr="00D068A6" w:rsidRDefault="007A59FB" w:rsidP="007A59FB">
            <w:pPr>
              <w:rPr>
                <w:lang w:val="es-PE"/>
              </w:rPr>
            </w:pPr>
          </w:p>
          <w:p w14:paraId="05C3774A" w14:textId="77777777" w:rsidR="007A59FB" w:rsidRDefault="007A59FB" w:rsidP="007A59FB">
            <w:pPr>
              <w:jc w:val="both"/>
              <w:rPr>
                <w:color w:val="FF0000"/>
                <w:lang w:val="en-US"/>
              </w:rPr>
            </w:pPr>
            <w:r>
              <w:rPr>
                <w:noProof/>
                <w:lang w:val="es-CL" w:eastAsia="es-CL"/>
              </w:rPr>
              <w:drawing>
                <wp:inline distT="0" distB="0" distL="0" distR="0" wp14:anchorId="4BE98D5C" wp14:editId="4F409E57">
                  <wp:extent cx="5884746" cy="2529506"/>
                  <wp:effectExtent l="0" t="0" r="8255" b="1079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48E9AB" w14:textId="77777777" w:rsidR="007A59FB" w:rsidRDefault="007A59FB" w:rsidP="0081383C">
            <w:pPr>
              <w:rPr>
                <w:lang w:val="es-PE"/>
              </w:rPr>
            </w:pPr>
            <w:r w:rsidRPr="00D068A6">
              <w:rPr>
                <w:lang w:val="es-PE"/>
              </w:rPr>
              <w:t xml:space="preserve">Fuentes: Para Chile, datos del Banco Central, serie encadenada, referencia 2008. Para América Latina, </w:t>
            </w:r>
          </w:p>
          <w:p w14:paraId="36C3F40D" w14:textId="05CAEA5F" w:rsidR="007A59FB" w:rsidRPr="00CB6F86" w:rsidRDefault="007A59FB" w:rsidP="0081383C">
            <w:pPr>
              <w:rPr>
                <w:color w:val="FF0000"/>
                <w:lang w:val="es-CL"/>
              </w:rPr>
            </w:pPr>
            <w:r w:rsidRPr="00D068A6">
              <w:rPr>
                <w:i/>
                <w:lang w:val="es-PE"/>
              </w:rPr>
              <w:t xml:space="preserve">Anuario Estadístico </w:t>
            </w:r>
            <w:r w:rsidRPr="00D068A6">
              <w:rPr>
                <w:lang w:val="es-PE"/>
              </w:rPr>
              <w:t>de CEPAL, en precios constantes de 2010</w:t>
            </w:r>
            <w:r w:rsidR="005F672D">
              <w:rPr>
                <w:lang w:val="es-PE"/>
              </w:rPr>
              <w:t>.</w:t>
            </w:r>
          </w:p>
          <w:p w14:paraId="167669F9" w14:textId="77777777" w:rsidR="007A59FB" w:rsidRPr="00CB6F86" w:rsidRDefault="007A59FB" w:rsidP="007A59FB">
            <w:pPr>
              <w:jc w:val="both"/>
              <w:rPr>
                <w:color w:val="FF0000"/>
                <w:lang w:val="es-CL"/>
              </w:rPr>
            </w:pPr>
          </w:p>
          <w:p w14:paraId="5264EA8D" w14:textId="7D074A0A" w:rsidR="007A59FB" w:rsidRDefault="007A59FB" w:rsidP="007A59FB">
            <w:pPr>
              <w:jc w:val="center"/>
              <w:rPr>
                <w:b/>
                <w:sz w:val="24"/>
                <w:szCs w:val="24"/>
                <w:lang w:val="es-PE"/>
              </w:rPr>
            </w:pPr>
            <w:r w:rsidRPr="00D068A6">
              <w:rPr>
                <w:b/>
                <w:sz w:val="24"/>
                <w:szCs w:val="24"/>
                <w:lang w:val="es-PE"/>
              </w:rPr>
              <w:t xml:space="preserve">Gráfico </w:t>
            </w:r>
            <w:r>
              <w:rPr>
                <w:b/>
                <w:sz w:val="24"/>
                <w:szCs w:val="24"/>
                <w:lang w:val="es-PE"/>
              </w:rPr>
              <w:t>3</w:t>
            </w:r>
            <w:r w:rsidRPr="00D068A6">
              <w:rPr>
                <w:b/>
                <w:sz w:val="24"/>
                <w:szCs w:val="24"/>
                <w:lang w:val="es-PE"/>
              </w:rPr>
              <w:t>.</w:t>
            </w:r>
            <w:r w:rsidR="002C7444">
              <w:rPr>
                <w:b/>
                <w:sz w:val="24"/>
                <w:szCs w:val="24"/>
                <w:lang w:val="es-PE"/>
              </w:rPr>
              <w:t xml:space="preserve"> Tipo de cambio y precio del cobre nominales, precios diarios, enero 2015-abril 2016</w:t>
            </w:r>
          </w:p>
          <w:p w14:paraId="2DC3B8D9" w14:textId="694D765B" w:rsidR="002C7444" w:rsidRDefault="002C7444" w:rsidP="002C7444">
            <w:pPr>
              <w:jc w:val="center"/>
              <w:rPr>
                <w:b/>
                <w:bCs/>
                <w:lang w:val="es-PE"/>
              </w:rPr>
            </w:pPr>
            <w:r w:rsidRPr="00D068A6">
              <w:rPr>
                <w:b/>
                <w:bCs/>
                <w:lang w:val="es-PE"/>
              </w:rPr>
              <w:t>(</w:t>
            </w:r>
            <w:r>
              <w:rPr>
                <w:b/>
                <w:bCs/>
                <w:lang w:val="es-PE"/>
              </w:rPr>
              <w:t>correlación=-0,95</w:t>
            </w:r>
            <w:r w:rsidRPr="00D068A6">
              <w:rPr>
                <w:b/>
                <w:bCs/>
                <w:lang w:val="es-PE"/>
              </w:rPr>
              <w:t>)</w:t>
            </w:r>
          </w:p>
          <w:p w14:paraId="4DB4FB32" w14:textId="77777777" w:rsidR="002C7444" w:rsidRPr="00D068A6" w:rsidRDefault="002C7444" w:rsidP="002C7444">
            <w:pPr>
              <w:jc w:val="center"/>
              <w:rPr>
                <w:b/>
                <w:bCs/>
                <w:lang w:val="es-PE"/>
              </w:rPr>
            </w:pPr>
          </w:p>
          <w:p w14:paraId="335A6439" w14:textId="2AD92C4D" w:rsidR="002C7444" w:rsidRPr="00D068A6" w:rsidRDefault="002C7444" w:rsidP="007A59FB">
            <w:pPr>
              <w:jc w:val="center"/>
              <w:rPr>
                <w:b/>
                <w:sz w:val="24"/>
                <w:szCs w:val="24"/>
                <w:lang w:val="es-PE"/>
              </w:rPr>
            </w:pPr>
            <w:r w:rsidRPr="00D068A6">
              <w:rPr>
                <w:noProof/>
                <w:lang w:val="es-CL" w:eastAsia="es-CL"/>
              </w:rPr>
              <w:drawing>
                <wp:inline distT="0" distB="0" distL="0" distR="0" wp14:anchorId="68853F5E" wp14:editId="5ADCD83B">
                  <wp:extent cx="5599998" cy="3130349"/>
                  <wp:effectExtent l="0" t="0" r="13970" b="1968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86F8B8" w14:textId="3C5BDA79" w:rsidR="007A59FB" w:rsidRPr="00D068A6" w:rsidRDefault="007A59FB" w:rsidP="007A59FB">
            <w:pPr>
              <w:jc w:val="center"/>
              <w:rPr>
                <w:b/>
                <w:lang w:val="es-PE"/>
              </w:rPr>
            </w:pPr>
          </w:p>
          <w:p w14:paraId="3648DBB5" w14:textId="77777777" w:rsidR="00020D43" w:rsidRPr="00357368" w:rsidRDefault="00020D43" w:rsidP="007A59FB">
            <w:pPr>
              <w:jc w:val="both"/>
              <w:rPr>
                <w:lang w:val="es-PE"/>
              </w:rPr>
            </w:pPr>
            <w:r w:rsidRPr="00357368">
              <w:rPr>
                <w:lang w:val="es-PE"/>
              </w:rPr>
              <w:t xml:space="preserve">                              F</w:t>
            </w:r>
            <w:r w:rsidR="007A59FB" w:rsidRPr="00357368">
              <w:rPr>
                <w:lang w:val="es-PE"/>
              </w:rPr>
              <w:t>uentes: Tipo de cambio, pesos por US$1, del Banco Central</w:t>
            </w:r>
            <w:r w:rsidRPr="00357368">
              <w:rPr>
                <w:lang w:val="es-PE"/>
              </w:rPr>
              <w:t xml:space="preserve"> (lado izquierdo)</w:t>
            </w:r>
            <w:r w:rsidR="007A59FB" w:rsidRPr="00357368">
              <w:rPr>
                <w:lang w:val="es-PE"/>
              </w:rPr>
              <w:t>;  precio del cobre, centavos</w:t>
            </w:r>
          </w:p>
          <w:p w14:paraId="34146041" w14:textId="7449CCBB" w:rsidR="0052765F" w:rsidRPr="00D068A6" w:rsidRDefault="00020D43" w:rsidP="0013640E">
            <w:pPr>
              <w:jc w:val="both"/>
              <w:rPr>
                <w:rFonts w:eastAsia="Times New Roman"/>
                <w:b/>
                <w:sz w:val="24"/>
                <w:szCs w:val="24"/>
                <w:lang w:val="es-PE"/>
              </w:rPr>
            </w:pPr>
            <w:r w:rsidRPr="00357368">
              <w:rPr>
                <w:lang w:val="es-PE"/>
              </w:rPr>
              <w:t xml:space="preserve">                             </w:t>
            </w:r>
            <w:r w:rsidR="0013640E">
              <w:rPr>
                <w:lang w:val="es-PE"/>
              </w:rPr>
              <w:t xml:space="preserve"> </w:t>
            </w:r>
            <w:r w:rsidR="007A59FB" w:rsidRPr="00357368">
              <w:rPr>
                <w:lang w:val="es-PE"/>
              </w:rPr>
              <w:t>de US$ por libra, de COCHILCO</w:t>
            </w:r>
            <w:r w:rsidRPr="00357368">
              <w:rPr>
                <w:lang w:val="es-PE"/>
              </w:rPr>
              <w:t xml:space="preserve"> (lado derecho)</w:t>
            </w:r>
            <w:r w:rsidR="007A59FB" w:rsidRPr="00357368">
              <w:rPr>
                <w:lang w:val="es-PE"/>
              </w:rPr>
              <w:t>.</w:t>
            </w:r>
          </w:p>
        </w:tc>
      </w:tr>
    </w:tbl>
    <w:p w14:paraId="54F5F894" w14:textId="77777777" w:rsidR="00EF01BD" w:rsidRPr="0013640E" w:rsidRDefault="00EF01BD" w:rsidP="0052765F"/>
    <w:sectPr w:rsidR="00EF01BD" w:rsidRPr="0013640E" w:rsidSect="0074324F">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6A7EE" w14:textId="77777777" w:rsidR="002D2496" w:rsidRDefault="002D2496" w:rsidP="00D90481">
      <w:r>
        <w:separator/>
      </w:r>
    </w:p>
  </w:endnote>
  <w:endnote w:type="continuationSeparator" w:id="0">
    <w:p w14:paraId="5870137C" w14:textId="77777777" w:rsidR="002D2496" w:rsidRDefault="002D2496" w:rsidP="00D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291903"/>
      <w:docPartObj>
        <w:docPartGallery w:val="Page Numbers (Bottom of Page)"/>
        <w:docPartUnique/>
      </w:docPartObj>
    </w:sdtPr>
    <w:sdtEndPr/>
    <w:sdtContent>
      <w:p w14:paraId="6654DF36" w14:textId="77777777" w:rsidR="00357368" w:rsidRDefault="00357368">
        <w:pPr>
          <w:pStyle w:val="Piedepgina"/>
          <w:jc w:val="right"/>
        </w:pPr>
        <w:r>
          <w:fldChar w:fldCharType="begin"/>
        </w:r>
        <w:r>
          <w:instrText xml:space="preserve"> PAGE   \* MERGEFORMAT </w:instrText>
        </w:r>
        <w:r>
          <w:fldChar w:fldCharType="separate"/>
        </w:r>
        <w:r w:rsidR="00D576E0">
          <w:rPr>
            <w:noProof/>
          </w:rPr>
          <w:t>28</w:t>
        </w:r>
        <w:r>
          <w:rPr>
            <w:noProof/>
          </w:rPr>
          <w:fldChar w:fldCharType="end"/>
        </w:r>
      </w:p>
    </w:sdtContent>
  </w:sdt>
  <w:p w14:paraId="610411D4" w14:textId="77777777" w:rsidR="00357368" w:rsidRDefault="003573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4D5A" w14:textId="77777777" w:rsidR="002D2496" w:rsidRDefault="002D2496" w:rsidP="00D90481">
      <w:r>
        <w:separator/>
      </w:r>
    </w:p>
  </w:footnote>
  <w:footnote w:type="continuationSeparator" w:id="0">
    <w:p w14:paraId="00F5BC9C" w14:textId="77777777" w:rsidR="002D2496" w:rsidRDefault="002D2496" w:rsidP="00D90481">
      <w:r>
        <w:continuationSeparator/>
      </w:r>
    </w:p>
  </w:footnote>
  <w:footnote w:id="1">
    <w:p w14:paraId="1CE0FA71" w14:textId="4FA326D3" w:rsidR="0061551C" w:rsidRDefault="00357368" w:rsidP="0061551C">
      <w:pPr>
        <w:pStyle w:val="Textonotapie"/>
      </w:pPr>
      <w:r w:rsidRPr="0053226B">
        <w:rPr>
          <w:rStyle w:val="Refdenotaalpie"/>
          <w:sz w:val="28"/>
        </w:rPr>
        <w:t>*</w:t>
      </w:r>
      <w:r w:rsidRPr="005E1ACB">
        <w:t xml:space="preserve"> </w:t>
      </w:r>
      <w:r w:rsidR="00B02D2C">
        <w:t xml:space="preserve">Publicado en  Damill, M, O. Dancourt y R. Frenkel (eds.), </w:t>
      </w:r>
      <w:r w:rsidR="00B02D2C" w:rsidRPr="00B02D2C">
        <w:rPr>
          <w:i/>
        </w:rPr>
        <w:t>Dilemas de las políticas cambiarias y monetarias en América Latina</w:t>
      </w:r>
      <w:r w:rsidR="00B02D2C">
        <w:t xml:space="preserve">,  Fondo Editorial Universidad Católica de Lima, 2018. </w:t>
      </w:r>
      <w:r w:rsidRPr="005E1ACB">
        <w:t xml:space="preserve">Agradezco </w:t>
      </w:r>
      <w:r>
        <w:t>la colaboración</w:t>
      </w:r>
      <w:r w:rsidRPr="005E1ACB">
        <w:t xml:space="preserve"> de Simón Ballesteros</w:t>
      </w:r>
      <w:r>
        <w:t xml:space="preserve"> y Andrea Costa</w:t>
      </w:r>
      <w:r w:rsidRPr="005E1ACB">
        <w:t>.</w:t>
      </w:r>
      <w:r w:rsidR="0061551C">
        <w:t xml:space="preserve"> </w:t>
      </w:r>
      <w:r w:rsidR="0061551C">
        <w:t xml:space="preserve">Una versión abreviada, en inglés, fue publicada en </w:t>
      </w:r>
      <w:r w:rsidR="0061551C" w:rsidRPr="0061551C">
        <w:rPr>
          <w:i/>
        </w:rPr>
        <w:t>Journal of Post Keneysian Economics</w:t>
      </w:r>
      <w:r w:rsidR="0061551C">
        <w:t>, vol</w:t>
      </w:r>
      <w:r w:rsidR="00C755B6">
        <w:t>.</w:t>
      </w:r>
      <w:r w:rsidR="0061551C">
        <w:t xml:space="preserve"> 4</w:t>
      </w:r>
      <w:r w:rsidR="0061551C">
        <w:t>0</w:t>
      </w:r>
      <w:r w:rsidR="0061551C">
        <w:t xml:space="preserve"> (1),</w:t>
      </w:r>
      <w:r w:rsidR="00C755B6">
        <w:t xml:space="preserve"> pp. 61-74,</w:t>
      </w:r>
      <w:r w:rsidR="0061551C">
        <w:t xml:space="preserve"> 2017</w:t>
      </w:r>
      <w:r w:rsidR="0061551C">
        <w:t>.</w:t>
      </w:r>
    </w:p>
    <w:p w14:paraId="7C597ED2" w14:textId="650F73F9" w:rsidR="00357368" w:rsidRDefault="00357368">
      <w:pPr>
        <w:pStyle w:val="Textonotapie"/>
      </w:pPr>
    </w:p>
    <w:p w14:paraId="27365C2B" w14:textId="2FD36F95" w:rsidR="00357368" w:rsidRPr="005E1ACB" w:rsidRDefault="00357368">
      <w:pPr>
        <w:pStyle w:val="Textonotapie"/>
      </w:pPr>
      <w:r>
        <w:t>** Profesor de Economía, FEN, Universidad de Chile.</w:t>
      </w:r>
    </w:p>
  </w:footnote>
  <w:footnote w:id="2">
    <w:p w14:paraId="361ED27C" w14:textId="76E9FE13" w:rsidR="00357368" w:rsidRPr="00937DE7" w:rsidRDefault="00357368" w:rsidP="00877F9B">
      <w:pPr>
        <w:pStyle w:val="Textonotapie"/>
      </w:pPr>
      <w:r w:rsidRPr="00937DE7">
        <w:rPr>
          <w:rStyle w:val="Refdenotaalpie"/>
        </w:rPr>
        <w:footnoteRef/>
      </w:r>
      <w:r w:rsidRPr="00937DE7">
        <w:t xml:space="preserve"> Las reformas, políticas y resultados económicos de Chile desde el golpe militar de 1973 hasta 2012 se tratan en Ffrench-Davis (2014). </w:t>
      </w:r>
    </w:p>
  </w:footnote>
  <w:footnote w:id="3">
    <w:p w14:paraId="577DABEC" w14:textId="1C0D8360" w:rsidR="00357368" w:rsidRPr="005F64C2" w:rsidRDefault="00357368" w:rsidP="00877F9B">
      <w:pPr>
        <w:pStyle w:val="Textonotapie"/>
        <w:rPr>
          <w:highlight w:val="cyan"/>
        </w:rPr>
      </w:pPr>
      <w:r w:rsidRPr="00937DE7">
        <w:rPr>
          <w:rStyle w:val="Refdenotaalpie"/>
        </w:rPr>
        <w:footnoteRef/>
      </w:r>
      <w:r w:rsidRPr="00937DE7">
        <w:t xml:space="preserve"> </w:t>
      </w:r>
      <w:r>
        <w:t>Cabe destacar</w:t>
      </w:r>
      <w:r w:rsidRPr="00937DE7">
        <w:t xml:space="preserve"> que la herramienta de política contra</w:t>
      </w:r>
      <w:r w:rsidR="00D576E0">
        <w:t>-</w:t>
      </w:r>
      <w:r w:rsidRPr="00937DE7">
        <w:t xml:space="preserve">cíclica </w:t>
      </w:r>
      <w:r>
        <w:t xml:space="preserve"> del encaje sobre</w:t>
      </w:r>
      <w:r w:rsidRPr="00937DE7">
        <w:t xml:space="preserve"> los </w:t>
      </w:r>
      <w:r>
        <w:t xml:space="preserve">ingresos de </w:t>
      </w:r>
      <w:r w:rsidRPr="00937DE7">
        <w:t>flujos de capitales</w:t>
      </w:r>
      <w:r>
        <w:t xml:space="preserve"> financieros</w:t>
      </w:r>
      <w:r w:rsidRPr="00937DE7">
        <w:t>, que se empleó sistemáticamente</w:t>
      </w:r>
      <w:r>
        <w:t xml:space="preserve"> en</w:t>
      </w:r>
      <w:r w:rsidRPr="00937DE7">
        <w:t xml:space="preserve"> 1991-95, todavía se encuentra a disposición del Banco aunque con ciertas limitaciones.  (Ver Ffrench-Davis, Gallagher, </w:t>
      </w:r>
      <w:r w:rsidRPr="00937DE7">
        <w:rPr>
          <w:i/>
        </w:rPr>
        <w:t>et al.,</w:t>
      </w:r>
      <w:r w:rsidRPr="00937DE7">
        <w:t xml:space="preserve"> 2015).</w:t>
      </w:r>
    </w:p>
  </w:footnote>
  <w:footnote w:id="4">
    <w:p w14:paraId="0B396483" w14:textId="411D5271" w:rsidR="00357368" w:rsidRPr="000A21B4" w:rsidRDefault="00357368" w:rsidP="00877F9B">
      <w:pPr>
        <w:pStyle w:val="Sangradetextonormal"/>
        <w:ind w:left="0"/>
        <w:rPr>
          <w:lang w:val="es-CL"/>
        </w:rPr>
      </w:pPr>
      <w:r w:rsidRPr="000A21B4">
        <w:rPr>
          <w:rFonts w:eastAsia="Calibri"/>
          <w:sz w:val="20"/>
          <w:szCs w:val="20"/>
          <w:lang w:val="es-CL"/>
        </w:rPr>
        <w:footnoteRef/>
      </w:r>
      <w:r w:rsidRPr="000A21B4">
        <w:rPr>
          <w:rFonts w:eastAsia="Calibri"/>
          <w:sz w:val="20"/>
          <w:szCs w:val="20"/>
          <w:lang w:val="es-CL"/>
        </w:rPr>
        <w:t xml:space="preserve"> El fracaso del enfoque macroeconómico adoptado desde 1999 </w:t>
      </w:r>
      <w:r>
        <w:rPr>
          <w:rFonts w:eastAsia="Calibri"/>
          <w:sz w:val="20"/>
          <w:szCs w:val="20"/>
          <w:lang w:val="es-CL"/>
        </w:rPr>
        <w:t>en cuanto a generar</w:t>
      </w:r>
      <w:r w:rsidRPr="000A21B4">
        <w:rPr>
          <w:rFonts w:eastAsia="Calibri"/>
          <w:sz w:val="20"/>
          <w:szCs w:val="20"/>
          <w:lang w:val="es-CL"/>
        </w:rPr>
        <w:t xml:space="preserve"> </w:t>
      </w:r>
      <w:r>
        <w:rPr>
          <w:rFonts w:eastAsia="Calibri"/>
          <w:sz w:val="20"/>
          <w:szCs w:val="20"/>
          <w:lang w:val="es-CL"/>
        </w:rPr>
        <w:t xml:space="preserve">mayor </w:t>
      </w:r>
      <w:r w:rsidRPr="000A21B4">
        <w:rPr>
          <w:rFonts w:eastAsia="Calibri"/>
          <w:sz w:val="20"/>
          <w:szCs w:val="20"/>
          <w:lang w:val="es-CL"/>
        </w:rPr>
        <w:t>crecimiento</w:t>
      </w:r>
      <w:r>
        <w:rPr>
          <w:rFonts w:eastAsia="Calibri"/>
          <w:sz w:val="20"/>
          <w:szCs w:val="20"/>
          <w:lang w:val="es-CL"/>
        </w:rPr>
        <w:t xml:space="preserve"> queda </w:t>
      </w:r>
      <w:r w:rsidRPr="000A21B4">
        <w:rPr>
          <w:rFonts w:eastAsia="Calibri"/>
          <w:sz w:val="20"/>
          <w:szCs w:val="20"/>
          <w:lang w:val="es-CL"/>
        </w:rPr>
        <w:t xml:space="preserve"> más de manifiest</w:t>
      </w:r>
      <w:r>
        <w:rPr>
          <w:rFonts w:eastAsia="Calibri"/>
          <w:sz w:val="20"/>
          <w:szCs w:val="20"/>
          <w:lang w:val="es-CL"/>
        </w:rPr>
        <w:t>o</w:t>
      </w:r>
      <w:r w:rsidRPr="000A21B4">
        <w:rPr>
          <w:rFonts w:eastAsia="Calibri"/>
          <w:sz w:val="20"/>
          <w:szCs w:val="20"/>
          <w:lang w:val="es-CL"/>
        </w:rPr>
        <w:t xml:space="preserve"> por el hecho que </w:t>
      </w:r>
      <w:r>
        <w:rPr>
          <w:rFonts w:eastAsia="Calibri"/>
          <w:sz w:val="20"/>
          <w:szCs w:val="20"/>
          <w:lang w:val="es-CL"/>
        </w:rPr>
        <w:t xml:space="preserve">sobre </w:t>
      </w:r>
      <w:r w:rsidRPr="000A21B4">
        <w:rPr>
          <w:rFonts w:eastAsia="Calibri"/>
          <w:sz w:val="20"/>
          <w:szCs w:val="20"/>
          <w:lang w:val="es-CL"/>
        </w:rPr>
        <w:t>el 85% de la caída del crecimiento del PBI entre</w:t>
      </w:r>
      <w:r>
        <w:rPr>
          <w:rFonts w:eastAsia="Calibri"/>
          <w:sz w:val="20"/>
          <w:szCs w:val="20"/>
          <w:lang w:val="es-CL"/>
        </w:rPr>
        <w:t xml:space="preserve"> </w:t>
      </w:r>
      <w:r w:rsidRPr="000A21B4">
        <w:rPr>
          <w:rFonts w:eastAsia="Calibri"/>
          <w:sz w:val="20"/>
          <w:szCs w:val="20"/>
          <w:lang w:val="es-CL"/>
        </w:rPr>
        <w:t xml:space="preserve">1990-98 </w:t>
      </w:r>
      <w:r>
        <w:rPr>
          <w:rFonts w:eastAsia="Calibri"/>
          <w:sz w:val="20"/>
          <w:szCs w:val="20"/>
          <w:lang w:val="es-CL"/>
        </w:rPr>
        <w:t xml:space="preserve">(7,1%) </w:t>
      </w:r>
      <w:r w:rsidRPr="000A21B4">
        <w:rPr>
          <w:rFonts w:eastAsia="Calibri"/>
          <w:sz w:val="20"/>
          <w:szCs w:val="20"/>
          <w:lang w:val="es-CL"/>
        </w:rPr>
        <w:t xml:space="preserve">y 1999-2003 </w:t>
      </w:r>
      <w:r>
        <w:rPr>
          <w:rFonts w:eastAsia="Calibri"/>
          <w:sz w:val="20"/>
          <w:szCs w:val="20"/>
          <w:lang w:val="es-CL"/>
        </w:rPr>
        <w:t xml:space="preserve">(2,6%) </w:t>
      </w:r>
      <w:r w:rsidRPr="000A21B4">
        <w:rPr>
          <w:rFonts w:eastAsia="Calibri"/>
          <w:sz w:val="20"/>
          <w:szCs w:val="20"/>
          <w:lang w:val="es-CL"/>
        </w:rPr>
        <w:t xml:space="preserve">se concentró en </w:t>
      </w:r>
      <w:r>
        <w:rPr>
          <w:rFonts w:eastAsia="Calibri"/>
          <w:sz w:val="20"/>
          <w:szCs w:val="20"/>
          <w:lang w:val="es-CL"/>
        </w:rPr>
        <w:t xml:space="preserve">la producción para </w:t>
      </w:r>
      <w:r w:rsidRPr="000A21B4">
        <w:rPr>
          <w:rFonts w:eastAsia="Calibri"/>
          <w:sz w:val="20"/>
          <w:szCs w:val="20"/>
          <w:lang w:val="es-CL"/>
        </w:rPr>
        <w:t xml:space="preserve">el mercado </w:t>
      </w:r>
      <w:r>
        <w:rPr>
          <w:rFonts w:eastAsia="Calibri"/>
          <w:sz w:val="20"/>
          <w:szCs w:val="20"/>
          <w:lang w:val="es-CL"/>
        </w:rPr>
        <w:t>interno</w:t>
      </w:r>
      <w:r w:rsidRPr="000A21B4">
        <w:rPr>
          <w:rFonts w:eastAsia="Calibri"/>
          <w:sz w:val="20"/>
          <w:szCs w:val="20"/>
          <w:lang w:val="es-CL"/>
        </w:rPr>
        <w:t xml:space="preserve">, que depende directamente de las políticas macroeconómicas internas (3.9 puntos </w:t>
      </w:r>
      <w:r>
        <w:rPr>
          <w:rFonts w:eastAsia="Calibri"/>
          <w:sz w:val="20"/>
          <w:szCs w:val="20"/>
          <w:lang w:val="es-CL"/>
        </w:rPr>
        <w:t xml:space="preserve">en una </w:t>
      </w:r>
      <w:r w:rsidRPr="000A21B4">
        <w:rPr>
          <w:rFonts w:eastAsia="Calibri"/>
          <w:sz w:val="20"/>
          <w:szCs w:val="20"/>
          <w:lang w:val="es-CL"/>
        </w:rPr>
        <w:t>caída de 4,5 puntos del PBI; Ffrench-Davis, 2014).</w:t>
      </w:r>
    </w:p>
  </w:footnote>
  <w:footnote w:id="5">
    <w:p w14:paraId="703CCBE8" w14:textId="554FB40A" w:rsidR="00357368" w:rsidRDefault="00357368">
      <w:pPr>
        <w:pStyle w:val="Textonotapie"/>
      </w:pPr>
      <w:r>
        <w:rPr>
          <w:rStyle w:val="Refdenotaalpie"/>
        </w:rPr>
        <w:footnoteRef/>
      </w:r>
      <w:r>
        <w:t xml:space="preserve"> Como en 1998 y 2007 el PBI efectivo se encontraba relativamente cerca del PBI potencial, ese 3,9% anual mide aproximadamente el crecimiento del PBI*, que contrasta notoriamente con el 7,1% anual de 1990-98.</w:t>
      </w:r>
    </w:p>
  </w:footnote>
  <w:footnote w:id="6">
    <w:p w14:paraId="33D1BF05" w14:textId="1CF08DCC" w:rsidR="00357368" w:rsidRPr="000A21B4" w:rsidRDefault="00357368" w:rsidP="00877F9B">
      <w:pPr>
        <w:pStyle w:val="Textonotapie"/>
        <w:rPr>
          <w:lang w:val="es-ES"/>
        </w:rPr>
      </w:pPr>
      <w:r w:rsidRPr="000A21B4">
        <w:rPr>
          <w:rStyle w:val="Refdenotaalpie"/>
        </w:rPr>
        <w:footnoteRef/>
      </w:r>
      <w:r w:rsidRPr="000A21B4">
        <w:t xml:space="preserve"> En promedio, 2,5% </w:t>
      </w:r>
      <w:r>
        <w:t xml:space="preserve">anual </w:t>
      </w:r>
      <w:r w:rsidRPr="000A21B4">
        <w:t>en 2004-06</w:t>
      </w:r>
      <w:r>
        <w:t xml:space="preserve"> (bajo la meta de 3%)</w:t>
      </w:r>
      <w:r w:rsidRPr="000A21B4">
        <w:t>;</w:t>
      </w:r>
      <w:r>
        <w:t xml:space="preserve"> luego</w:t>
      </w:r>
      <w:r w:rsidRPr="000A21B4">
        <w:t xml:space="preserve"> se inició un auge internacional de los precios de alimentos que duró hasta la irrupción de la crisis global en 2008, generando una significativa inflación importada. El cambio del IPC anual aumentó a </w:t>
      </w:r>
      <w:r w:rsidRPr="000A21B4">
        <w:rPr>
          <w:lang w:val="es-ES"/>
        </w:rPr>
        <w:t>7,5% en 2007-08 y disminuyó a -1,4% en 2009.</w:t>
      </w:r>
      <w:r w:rsidRPr="000A21B4">
        <w:rPr>
          <w:color w:val="FF0000"/>
          <w:lang w:val="es-ES"/>
        </w:rPr>
        <w:t xml:space="preserve"> </w:t>
      </w:r>
    </w:p>
  </w:footnote>
  <w:footnote w:id="7">
    <w:p w14:paraId="1099FCF5" w14:textId="4E7C84DA" w:rsidR="00357368" w:rsidRPr="000A1117" w:rsidRDefault="00357368" w:rsidP="00877F9B">
      <w:pPr>
        <w:pStyle w:val="Textonotapie"/>
        <w:rPr>
          <w:lang w:val="es-ES"/>
        </w:rPr>
      </w:pPr>
      <w:r w:rsidRPr="000A1117">
        <w:rPr>
          <w:rStyle w:val="Refdenotaalpie"/>
        </w:rPr>
        <w:footnoteRef/>
      </w:r>
      <w:r w:rsidRPr="000A1117">
        <w:rPr>
          <w:lang w:val="es-ES"/>
        </w:rPr>
        <w:t xml:space="preserve"> La experiencia con el </w:t>
      </w:r>
      <w:r>
        <w:rPr>
          <w:lang w:val="es-ES"/>
        </w:rPr>
        <w:t>B</w:t>
      </w:r>
      <w:r w:rsidRPr="000A1117">
        <w:rPr>
          <w:lang w:val="es-ES"/>
        </w:rPr>
        <w:t>FE se analiza en detalle en Ffrench-Davis (2016a).</w:t>
      </w:r>
    </w:p>
  </w:footnote>
  <w:footnote w:id="8">
    <w:p w14:paraId="33C9EC1E" w14:textId="1228AC98" w:rsidR="00357368" w:rsidRPr="000A7A8D" w:rsidRDefault="00357368">
      <w:pPr>
        <w:pStyle w:val="Textonotapie"/>
        <w:rPr>
          <w:highlight w:val="cyan"/>
          <w:lang w:val="es-ES"/>
        </w:rPr>
      </w:pPr>
      <w:r w:rsidRPr="000A1117">
        <w:rPr>
          <w:rStyle w:val="Refdenotaalpie"/>
        </w:rPr>
        <w:footnoteRef/>
      </w:r>
      <w:r w:rsidRPr="000A1117">
        <w:rPr>
          <w:lang w:val="es-ES"/>
        </w:rPr>
        <w:t xml:space="preserve">  </w:t>
      </w:r>
      <w:r>
        <w:rPr>
          <w:lang w:val="es-ES"/>
        </w:rPr>
        <w:t>Junto a gasto</w:t>
      </w:r>
      <w:r w:rsidR="00D576E0">
        <w:rPr>
          <w:lang w:val="es-ES"/>
        </w:rPr>
        <w:t>s</w:t>
      </w:r>
      <w:r>
        <w:rPr>
          <w:lang w:val="es-ES"/>
        </w:rPr>
        <w:t xml:space="preserve"> transitorios, s</w:t>
      </w:r>
      <w:r w:rsidRPr="000A1117">
        <w:rPr>
          <w:lang w:val="es-ES"/>
        </w:rPr>
        <w:t>e produjo un incremento permanente del gasto resultante de una significativa reforma en la seguridad social</w:t>
      </w:r>
      <w:r>
        <w:rPr>
          <w:lang w:val="es-ES"/>
        </w:rPr>
        <w:t xml:space="preserve"> efectuada en 2008</w:t>
      </w:r>
      <w:r w:rsidRPr="000A1117">
        <w:rPr>
          <w:lang w:val="es-ES"/>
        </w:rPr>
        <w:t>. Esta reforma agregó un pilar solidari</w:t>
      </w:r>
      <w:r>
        <w:rPr>
          <w:lang w:val="es-ES"/>
        </w:rPr>
        <w:t>o</w:t>
      </w:r>
      <w:r w:rsidRPr="000A1117">
        <w:rPr>
          <w:lang w:val="es-ES"/>
        </w:rPr>
        <w:t xml:space="preserve"> (sumamente progresivo) a la reforma impuesta por la dictadura en 1981</w:t>
      </w:r>
      <w:r>
        <w:rPr>
          <w:lang w:val="es-ES"/>
        </w:rPr>
        <w:t xml:space="preserve"> de un</w:t>
      </w:r>
      <w:r w:rsidRPr="000A1117">
        <w:rPr>
          <w:lang w:val="es-ES"/>
        </w:rPr>
        <w:t xml:space="preserve"> régimen de capitalización privada de fondos de pensiones. La nueva reforma estuvo dirigida a corregir el hecho de que la capitalización naturalmente </w:t>
      </w:r>
      <w:r>
        <w:rPr>
          <w:lang w:val="es-ES"/>
        </w:rPr>
        <w:t>capitalizaba</w:t>
      </w:r>
      <w:r w:rsidRPr="000A1117">
        <w:rPr>
          <w:lang w:val="es-ES"/>
        </w:rPr>
        <w:t xml:space="preserve"> la desigualdad existente. </w:t>
      </w:r>
      <w:r>
        <w:rPr>
          <w:lang w:val="es-ES"/>
        </w:rPr>
        <w:t>Es</w:t>
      </w:r>
      <w:r w:rsidRPr="000A1117">
        <w:rPr>
          <w:lang w:val="es-ES"/>
        </w:rPr>
        <w:t xml:space="preserve">a desigualdad se agravó debido al </w:t>
      </w:r>
      <w:r>
        <w:rPr>
          <w:lang w:val="es-ES"/>
        </w:rPr>
        <w:t>fuerte</w:t>
      </w:r>
      <w:r w:rsidRPr="000A1117">
        <w:rPr>
          <w:lang w:val="es-ES"/>
        </w:rPr>
        <w:t xml:space="preserve"> desempleo y bajos salarios que prevalecieron después de la </w:t>
      </w:r>
      <w:r>
        <w:rPr>
          <w:lang w:val="es-ES"/>
        </w:rPr>
        <w:t>gran</w:t>
      </w:r>
      <w:r w:rsidRPr="000A1117">
        <w:rPr>
          <w:lang w:val="es-ES"/>
        </w:rPr>
        <w:t xml:space="preserve"> crisis de la deuda de 1982. (Ver Ffrench-Davis, 2014, cap. VII).</w:t>
      </w:r>
    </w:p>
  </w:footnote>
  <w:footnote w:id="9">
    <w:p w14:paraId="7E8A0A2F" w14:textId="2B36C922" w:rsidR="00357368" w:rsidRPr="00796D09" w:rsidRDefault="00357368" w:rsidP="00877F9B">
      <w:pPr>
        <w:pStyle w:val="Textonotapie"/>
        <w:rPr>
          <w:lang w:val="es-ES"/>
        </w:rPr>
      </w:pPr>
      <w:r w:rsidRPr="00796D09">
        <w:rPr>
          <w:rStyle w:val="Refdenotaalpie"/>
        </w:rPr>
        <w:footnoteRef/>
      </w:r>
      <w:r w:rsidRPr="00796D09">
        <w:rPr>
          <w:lang w:val="es-ES"/>
        </w:rPr>
        <w:t xml:space="preserve"> El </w:t>
      </w:r>
      <w:r>
        <w:rPr>
          <w:lang w:val="es-ES"/>
        </w:rPr>
        <w:t>BFE</w:t>
      </w:r>
      <w:r w:rsidRPr="00796D09">
        <w:rPr>
          <w:lang w:val="es-ES"/>
        </w:rPr>
        <w:t xml:space="preserve"> se inició con una meta de superávit de 1% que se redujo a 0,5% en 2008 y a 0% a partir de 2009.</w:t>
      </w:r>
    </w:p>
  </w:footnote>
  <w:footnote w:id="10">
    <w:p w14:paraId="10B59C59" w14:textId="72A61F95" w:rsidR="00357368" w:rsidRPr="003E7980" w:rsidRDefault="00357368" w:rsidP="00877F9B">
      <w:pPr>
        <w:pStyle w:val="Textonotapie"/>
        <w:rPr>
          <w:lang w:val="es-ES"/>
        </w:rPr>
      </w:pPr>
      <w:r w:rsidRPr="007D181D">
        <w:rPr>
          <w:rStyle w:val="Refdenotaalpie"/>
        </w:rPr>
        <w:footnoteRef/>
      </w:r>
      <w:r w:rsidRPr="007D181D">
        <w:rPr>
          <w:lang w:val="es-ES"/>
        </w:rPr>
        <w:t xml:space="preserve"> Denominado PBI potencial de </w:t>
      </w:r>
      <w:r w:rsidRPr="007D181D">
        <w:rPr>
          <w:i/>
          <w:lang w:val="es-ES"/>
        </w:rPr>
        <w:t xml:space="preserve">corto plazo </w:t>
      </w:r>
      <w:r w:rsidRPr="007D181D">
        <w:rPr>
          <w:lang w:val="es-ES"/>
        </w:rPr>
        <w:t>por el Banco Central.</w:t>
      </w:r>
    </w:p>
  </w:footnote>
  <w:footnote w:id="11">
    <w:p w14:paraId="66396933" w14:textId="28CB90C8" w:rsidR="00357368" w:rsidRPr="00583F18" w:rsidRDefault="00357368" w:rsidP="00877F9B">
      <w:pPr>
        <w:pStyle w:val="Textonotapie"/>
      </w:pPr>
      <w:r w:rsidRPr="001C3977">
        <w:rPr>
          <w:rStyle w:val="Refdenotaalpie"/>
        </w:rPr>
        <w:footnoteRef/>
      </w:r>
      <w:r w:rsidRPr="001C3977">
        <w:t xml:space="preserve"> Desde 1999, la economía se habría situado cerca del P</w:t>
      </w:r>
      <w:r>
        <w:t>B</w:t>
      </w:r>
      <w:r w:rsidRPr="001C3977">
        <w:t xml:space="preserve">I* solo en 2007 y 2012-13, y con intensa inestabilidad de las importaciones y del tipo de cambio real, en tanto que permaneció cerca del PIB* en la gran mayoría del tiempo transcurrido entre 1991 y 1998 cuando </w:t>
      </w:r>
      <w:r>
        <w:t xml:space="preserve">se </w:t>
      </w:r>
      <w:r w:rsidRPr="001C3977">
        <w:t>regul</w:t>
      </w:r>
      <w:r>
        <w:t>aron</w:t>
      </w:r>
      <w:r w:rsidRPr="001C3977">
        <w:t xml:space="preserve"> contra-cíclicamente los flujos de capitales financieros y </w:t>
      </w:r>
      <w:r>
        <w:t>e</w:t>
      </w:r>
      <w:r w:rsidRPr="001C3977">
        <w:t>l tipo de cambio.</w:t>
      </w:r>
    </w:p>
  </w:footnote>
  <w:footnote w:id="12">
    <w:p w14:paraId="4385B20D" w14:textId="24193792" w:rsidR="00357368" w:rsidRPr="00CA75BE" w:rsidRDefault="00357368" w:rsidP="00877F9B">
      <w:pPr>
        <w:pStyle w:val="Textonotapie"/>
        <w:rPr>
          <w:lang w:val="es-ES"/>
        </w:rPr>
      </w:pPr>
      <w:r w:rsidRPr="00CA75BE">
        <w:rPr>
          <w:rStyle w:val="Refdenotaalpie"/>
        </w:rPr>
        <w:footnoteRef/>
      </w:r>
      <w:r w:rsidRPr="00CA75BE">
        <w:t xml:space="preserve"> Subrayamos dos características: “un proceso</w:t>
      </w:r>
      <w:r>
        <w:t>”</w:t>
      </w:r>
      <w:r w:rsidRPr="00CA75BE">
        <w:t xml:space="preserve"> y </w:t>
      </w:r>
      <w:r>
        <w:t>“</w:t>
      </w:r>
      <w:r w:rsidRPr="00CA75BE">
        <w:t xml:space="preserve">mediano plazo” </w:t>
      </w:r>
      <w:r>
        <w:t xml:space="preserve">en vez de </w:t>
      </w:r>
      <w:r w:rsidRPr="00CA75BE">
        <w:t xml:space="preserve">cambios por única vez a corto plazo. La volatilidad de los regímenes </w:t>
      </w:r>
      <w:r>
        <w:t xml:space="preserve">cambiarios </w:t>
      </w:r>
      <w:r w:rsidRPr="00CA75BE">
        <w:t xml:space="preserve">de tasa flotante libre no plantea ineficiencias significativas cuando las fluctuaciones del mercado son tránsitos aleatorios de corta duración. </w:t>
      </w:r>
      <w:r w:rsidRPr="00CA75BE">
        <w:rPr>
          <w:lang w:val="es-ES"/>
        </w:rPr>
        <w:t xml:space="preserve">Dichos tránsitos pueden enfrentarse fácilmente con derivados. (Ver Dodd </w:t>
      </w:r>
      <w:r>
        <w:rPr>
          <w:lang w:val="es-ES"/>
        </w:rPr>
        <w:t>y</w:t>
      </w:r>
      <w:r w:rsidRPr="00CA75BE">
        <w:rPr>
          <w:lang w:val="es-ES"/>
        </w:rPr>
        <w:t xml:space="preserve"> Griffith-Jones, 2006). Pero las fluctuaciones se convierten en una preocupación más importante </w:t>
      </w:r>
      <w:r>
        <w:rPr>
          <w:lang w:val="es-ES"/>
        </w:rPr>
        <w:t>con las fluctuaciones cíclicas</w:t>
      </w:r>
      <w:r w:rsidRPr="00CA75BE">
        <w:rPr>
          <w:lang w:val="es-ES"/>
        </w:rPr>
        <w:t xml:space="preserve"> – o</w:t>
      </w:r>
      <w:r>
        <w:rPr>
          <w:lang w:val="es-ES"/>
        </w:rPr>
        <w:t>nd</w:t>
      </w:r>
      <w:r w:rsidRPr="00CA75BE">
        <w:rPr>
          <w:lang w:val="es-ES"/>
        </w:rPr>
        <w:t>as de mediano plazo – como ha sido característico de los flujos financieros que enfrentaron las economías emergentes (EE) y los precios de los productos básicos en las últimas décadas. En esta situación, la apreciación persistente de la tasa de cambio durante los au</w:t>
      </w:r>
      <w:r>
        <w:rPr>
          <w:lang w:val="es-ES"/>
        </w:rPr>
        <w:t>ges</w:t>
      </w:r>
      <w:r w:rsidRPr="00CA75BE">
        <w:rPr>
          <w:lang w:val="es-ES"/>
        </w:rPr>
        <w:t xml:space="preserve"> </w:t>
      </w:r>
      <w:r>
        <w:rPr>
          <w:lang w:val="es-ES"/>
        </w:rPr>
        <w:t xml:space="preserve">y la depreciación en las contracciones </w:t>
      </w:r>
      <w:r w:rsidRPr="00CA75BE">
        <w:rPr>
          <w:lang w:val="es-ES"/>
        </w:rPr>
        <w:t xml:space="preserve">de </w:t>
      </w:r>
      <w:r>
        <w:rPr>
          <w:lang w:val="es-ES"/>
        </w:rPr>
        <w:t xml:space="preserve">los flujos </w:t>
      </w:r>
      <w:r w:rsidRPr="00CA75BE">
        <w:rPr>
          <w:lang w:val="es-ES"/>
        </w:rPr>
        <w:t>capital</w:t>
      </w:r>
      <w:r>
        <w:rPr>
          <w:lang w:val="es-ES"/>
        </w:rPr>
        <w:t xml:space="preserve"> </w:t>
      </w:r>
      <w:r w:rsidRPr="00CA75BE">
        <w:rPr>
          <w:lang w:val="es-ES"/>
        </w:rPr>
        <w:t>tiende</w:t>
      </w:r>
      <w:r>
        <w:rPr>
          <w:lang w:val="es-ES"/>
        </w:rPr>
        <w:t>n</w:t>
      </w:r>
      <w:r w:rsidRPr="00CA75BE">
        <w:rPr>
          <w:lang w:val="es-ES"/>
        </w:rPr>
        <w:t xml:space="preserve"> a generar efectos perversos en la asignación irreversible de recursos.</w:t>
      </w:r>
    </w:p>
  </w:footnote>
  <w:footnote w:id="13">
    <w:p w14:paraId="7B0C8578" w14:textId="2CCFB5EF" w:rsidR="00357368" w:rsidRPr="00CA75BE" w:rsidRDefault="00357368" w:rsidP="00877F9B">
      <w:pPr>
        <w:pStyle w:val="Textonotapie"/>
        <w:rPr>
          <w:lang w:val="es-ES"/>
        </w:rPr>
      </w:pPr>
      <w:r w:rsidRPr="00CA75BE">
        <w:rPr>
          <w:rStyle w:val="Refdenotaalpie"/>
        </w:rPr>
        <w:footnoteRef/>
      </w:r>
      <w:r w:rsidRPr="00CA75BE">
        <w:rPr>
          <w:lang w:val="es-ES"/>
        </w:rPr>
        <w:t xml:space="preserve"> En los años 90, existía espacio para una apreciación estabilizadora--</w:t>
      </w:r>
      <w:r w:rsidRPr="00CA75BE">
        <w:rPr>
          <w:i/>
          <w:lang w:val="es-ES"/>
        </w:rPr>
        <w:t>á la</w:t>
      </w:r>
      <w:r w:rsidRPr="00CA75BE">
        <w:rPr>
          <w:lang w:val="es-ES"/>
        </w:rPr>
        <w:t xml:space="preserve"> Balassa-Samuelson—</w:t>
      </w:r>
      <w:r>
        <w:rPr>
          <w:lang w:val="es-ES"/>
        </w:rPr>
        <w:t xml:space="preserve">, </w:t>
      </w:r>
      <w:r w:rsidRPr="00CA75BE">
        <w:rPr>
          <w:lang w:val="es-ES"/>
        </w:rPr>
        <w:t xml:space="preserve">gracias al rápido crecimiento económico que se logró en dicho </w:t>
      </w:r>
      <w:r>
        <w:rPr>
          <w:lang w:val="es-ES"/>
        </w:rPr>
        <w:t>tiempo</w:t>
      </w:r>
      <w:r w:rsidRPr="00CA75BE">
        <w:rPr>
          <w:lang w:val="es-ES"/>
        </w:rPr>
        <w:t>, inclu</w:t>
      </w:r>
      <w:r>
        <w:rPr>
          <w:lang w:val="es-ES"/>
        </w:rPr>
        <w:t>yendo</w:t>
      </w:r>
      <w:r w:rsidRPr="00CA75BE">
        <w:rPr>
          <w:lang w:val="es-ES"/>
        </w:rPr>
        <w:t xml:space="preserve"> un fuerte aumento de la productividad de los factores (PTF)</w:t>
      </w:r>
      <w:r>
        <w:rPr>
          <w:lang w:val="es-ES"/>
        </w:rPr>
        <w:t xml:space="preserve"> claramente superior que en la mayoría de sus socios comerciales. P</w:t>
      </w:r>
      <w:r w:rsidRPr="00CA75BE">
        <w:rPr>
          <w:lang w:val="es-ES"/>
        </w:rPr>
        <w:t xml:space="preserve">ero, desde </w:t>
      </w:r>
      <w:r>
        <w:rPr>
          <w:lang w:val="es-ES"/>
        </w:rPr>
        <w:t>fines</w:t>
      </w:r>
      <w:r w:rsidRPr="00CA75BE">
        <w:rPr>
          <w:lang w:val="es-ES"/>
        </w:rPr>
        <w:t xml:space="preserve"> de los </w:t>
      </w:r>
      <w:r>
        <w:rPr>
          <w:lang w:val="es-ES"/>
        </w:rPr>
        <w:t>90</w:t>
      </w:r>
      <w:r w:rsidRPr="00CA75BE">
        <w:rPr>
          <w:lang w:val="es-ES"/>
        </w:rPr>
        <w:t>, dicho espacio se contra</w:t>
      </w:r>
      <w:r>
        <w:rPr>
          <w:lang w:val="es-ES"/>
        </w:rPr>
        <w:t>j</w:t>
      </w:r>
      <w:r w:rsidRPr="00CA75BE">
        <w:rPr>
          <w:lang w:val="es-ES"/>
        </w:rPr>
        <w:t>o</w:t>
      </w:r>
      <w:r>
        <w:rPr>
          <w:lang w:val="es-ES"/>
        </w:rPr>
        <w:t xml:space="preserve"> o revirtió</w:t>
      </w:r>
      <w:r w:rsidRPr="00CA75BE">
        <w:rPr>
          <w:lang w:val="es-ES"/>
        </w:rPr>
        <w:t xml:space="preserve"> debido al significativo debilitamiento de la PTF; los estimados de cambios de la PTF disminuyeron de 3% en 1993-96 a menos de 1% en 1999-2014 (CORFO/UAI, 2015). </w:t>
      </w:r>
    </w:p>
  </w:footnote>
  <w:footnote w:id="14">
    <w:p w14:paraId="3FE815F2" w14:textId="65CFBE28" w:rsidR="00357368" w:rsidRPr="00CA75BE" w:rsidRDefault="00357368" w:rsidP="00CF6225">
      <w:pPr>
        <w:pStyle w:val="Textonotapie"/>
        <w:rPr>
          <w:lang w:val="es-ES"/>
        </w:rPr>
      </w:pPr>
      <w:r w:rsidRPr="00CA75BE">
        <w:rPr>
          <w:rStyle w:val="Refdenotaalpie"/>
        </w:rPr>
        <w:footnoteRef/>
      </w:r>
      <w:r w:rsidRPr="00CA75BE">
        <w:rPr>
          <w:lang w:val="es-ES"/>
        </w:rPr>
        <w:t xml:space="preserve"> </w:t>
      </w:r>
      <w:r>
        <w:rPr>
          <w:lang w:val="es-ES"/>
        </w:rPr>
        <w:t>El precio relevante del cobre es el expresado</w:t>
      </w:r>
      <w:r w:rsidRPr="00CA75BE">
        <w:rPr>
          <w:lang w:val="es-ES"/>
        </w:rPr>
        <w:t xml:space="preserve"> en términos reales (deflactado por el estimado de inflación internacional relevante para Chile, IPE</w:t>
      </w:r>
      <w:r>
        <w:rPr>
          <w:lang w:val="es-ES"/>
        </w:rPr>
        <w:t>, publicado por el Banco Central</w:t>
      </w:r>
      <w:r w:rsidRPr="00CA75BE">
        <w:rPr>
          <w:lang w:val="es-ES"/>
        </w:rPr>
        <w:t>)</w:t>
      </w:r>
      <w:r>
        <w:rPr>
          <w:lang w:val="es-ES"/>
        </w:rPr>
        <w:t>. En el texto se dan cifras  nominales a título meramente ilustrativo.</w:t>
      </w:r>
      <w:r w:rsidRPr="00CA75BE">
        <w:rPr>
          <w:lang w:val="es-ES"/>
        </w:rPr>
        <w:t xml:space="preserve"> </w:t>
      </w:r>
    </w:p>
  </w:footnote>
  <w:footnote w:id="15">
    <w:p w14:paraId="24524441" w14:textId="41BD65F8" w:rsidR="00357368" w:rsidRPr="002B464C" w:rsidRDefault="00357368" w:rsidP="00877F9B">
      <w:pPr>
        <w:pStyle w:val="Textonotapie"/>
        <w:rPr>
          <w:lang w:val="es-ES"/>
        </w:rPr>
      </w:pPr>
      <w:r w:rsidRPr="00CA75BE">
        <w:rPr>
          <w:rStyle w:val="Refdenotaalpie"/>
        </w:rPr>
        <w:footnoteRef/>
      </w:r>
      <w:r w:rsidRPr="00CA75BE">
        <w:rPr>
          <w:lang w:val="es-ES"/>
        </w:rPr>
        <w:t xml:space="preserve"> </w:t>
      </w:r>
      <w:r>
        <w:rPr>
          <w:lang w:val="es-ES"/>
        </w:rPr>
        <w:t>E</w:t>
      </w:r>
      <w:r w:rsidRPr="00CA75BE">
        <w:rPr>
          <w:lang w:val="es-ES"/>
        </w:rPr>
        <w:t>n 2003 la reinversión de utilidades de la IED llegó a US$3</w:t>
      </w:r>
      <w:r>
        <w:rPr>
          <w:lang w:val="es-ES"/>
        </w:rPr>
        <w:t>,</w:t>
      </w:r>
      <w:r w:rsidRPr="00CA75BE">
        <w:rPr>
          <w:lang w:val="es-ES"/>
        </w:rPr>
        <w:t xml:space="preserve">3 miles de millones, </w:t>
      </w:r>
      <w:r>
        <w:rPr>
          <w:lang w:val="es-ES"/>
        </w:rPr>
        <w:t xml:space="preserve">mientras que </w:t>
      </w:r>
      <w:r w:rsidRPr="00CA75BE">
        <w:rPr>
          <w:lang w:val="es-ES"/>
        </w:rPr>
        <w:t>en 20</w:t>
      </w:r>
      <w:r>
        <w:rPr>
          <w:lang w:val="es-ES"/>
        </w:rPr>
        <w:t>12</w:t>
      </w:r>
      <w:r w:rsidRPr="00CA75BE">
        <w:rPr>
          <w:lang w:val="es-ES"/>
        </w:rPr>
        <w:t xml:space="preserve"> había aumentado a US$</w:t>
      </w:r>
      <w:r>
        <w:rPr>
          <w:lang w:val="es-ES"/>
        </w:rPr>
        <w:t>9,1</w:t>
      </w:r>
      <w:r w:rsidRPr="00CA75BE">
        <w:rPr>
          <w:lang w:val="es-ES"/>
        </w:rPr>
        <w:t xml:space="preserve"> miles de millones.</w:t>
      </w:r>
    </w:p>
  </w:footnote>
  <w:footnote w:id="16">
    <w:p w14:paraId="031144A3" w14:textId="7B3F9D4B" w:rsidR="00357368" w:rsidRPr="00AE2B11" w:rsidRDefault="00357368" w:rsidP="00877F9B">
      <w:pPr>
        <w:pStyle w:val="Textonotapie"/>
      </w:pPr>
      <w:r w:rsidRPr="001C3977">
        <w:rPr>
          <w:rStyle w:val="Refdenotaalpie"/>
        </w:rPr>
        <w:footnoteRef/>
      </w:r>
      <w:r w:rsidRPr="001C3977">
        <w:t xml:space="preserve"> Los créditos  bancarios en mora  permanecían bajos, en alrededor de 2% del stock  (SBIF, 2016).</w:t>
      </w:r>
    </w:p>
  </w:footnote>
  <w:footnote w:id="17">
    <w:p w14:paraId="77EC5F95" w14:textId="76D19888" w:rsidR="00357368" w:rsidRDefault="00357368">
      <w:pPr>
        <w:pStyle w:val="Textonotapie"/>
      </w:pPr>
      <w:r w:rsidRPr="001C3977">
        <w:rPr>
          <w:rStyle w:val="Refdenotaalpie"/>
        </w:rPr>
        <w:footnoteRef/>
      </w:r>
      <w:r w:rsidRPr="001C3977">
        <w:t xml:space="preserve"> Un atenuante importante es que el endeudamiento se efectuó principalmente en el mercado interno y a tasas de interés </w:t>
      </w:r>
      <w:r>
        <w:t xml:space="preserve">muy </w:t>
      </w:r>
      <w:r w:rsidRPr="001C3977">
        <w:t>bajas.</w:t>
      </w:r>
    </w:p>
  </w:footnote>
  <w:footnote w:id="18">
    <w:p w14:paraId="04F51D65" w14:textId="758BC67F" w:rsidR="00357368" w:rsidRPr="0023485E" w:rsidRDefault="00357368" w:rsidP="009F33C3">
      <w:pPr>
        <w:pStyle w:val="Textonotapie"/>
      </w:pPr>
      <w:r w:rsidRPr="00106432">
        <w:rPr>
          <w:rStyle w:val="Refdenotaalpie"/>
        </w:rPr>
        <w:footnoteRef/>
      </w:r>
      <w:r w:rsidRPr="00877F9B">
        <w:t xml:space="preserve"> </w:t>
      </w:r>
      <w:r w:rsidRPr="001C3977">
        <w:t>La inflación según el índice de precios externos (IPE) del Banco Central</w:t>
      </w:r>
      <w:r>
        <w:t xml:space="preserve"> fue de 33% entre los promedios</w:t>
      </w:r>
      <w:r w:rsidRPr="001C3977">
        <w:t xml:space="preserve"> de 2006 y 2013 (el</w:t>
      </w:r>
      <w:r w:rsidRPr="00E268C5">
        <w:t xml:space="preserve"> </w:t>
      </w:r>
      <w:r w:rsidRPr="001E5F0C">
        <w:t>IPC de los EEUU subió 16%</w:t>
      </w:r>
      <w:r w:rsidRPr="00106432">
        <w:t xml:space="preserve"> en el mismo período). En el intertanto,  los costos de producción </w:t>
      </w:r>
      <w:r w:rsidRPr="001C3977">
        <w:t xml:space="preserve">se incrementaron fuertemente, particularmente por el deterioro de la calidad de los minerales extraídos y la incidencia por la apreciación cambiaria (y el “descuido” con los costos de producción cuando los precios son “excesivamente” altos). Con todo,  los ingresos fiscales provenientes de la minería se elevaron de </w:t>
      </w:r>
      <w:r>
        <w:t xml:space="preserve">1,0% del PBI (5,0% de los ingresos del gobierno central,Ygc) en 2003, a  8,2% del PIB (31,9% del Ygc) en 2007 y decrecieron a </w:t>
      </w:r>
      <w:r w:rsidRPr="00A131B2">
        <w:t>1,9% del PBI (9,1% del Ygc) en 2014</w:t>
      </w:r>
      <w:r>
        <w:t xml:space="preserve"> (Rodríguez, </w:t>
      </w:r>
      <w:r w:rsidRPr="007F5D32">
        <w:rPr>
          <w:i/>
        </w:rPr>
        <w:t>et al.</w:t>
      </w:r>
      <w:r>
        <w:rPr>
          <w:i/>
        </w:rPr>
        <w:t xml:space="preserve"> </w:t>
      </w:r>
      <w:r w:rsidRPr="007F5D32">
        <w:t>2015)</w:t>
      </w:r>
      <w:r w:rsidRPr="00C23BFC">
        <w:t>.</w:t>
      </w:r>
    </w:p>
    <w:p w14:paraId="4A757173" w14:textId="77777777" w:rsidR="00357368" w:rsidRPr="006C3786" w:rsidRDefault="00357368" w:rsidP="009F33C3">
      <w:pPr>
        <w:pStyle w:val="Textonotapie"/>
      </w:pPr>
    </w:p>
  </w:footnote>
  <w:footnote w:id="19">
    <w:p w14:paraId="5FA1CAE7" w14:textId="2C44856D" w:rsidR="00357368" w:rsidRPr="00BC0C8F" w:rsidRDefault="00357368" w:rsidP="00877F9B">
      <w:pPr>
        <w:pStyle w:val="Textonotapie"/>
      </w:pPr>
      <w:r w:rsidRPr="00BC0C8F">
        <w:rPr>
          <w:rStyle w:val="Refdenotaalpie"/>
        </w:rPr>
        <w:footnoteRef/>
      </w:r>
      <w:r w:rsidRPr="00BC0C8F">
        <w:t xml:space="preserve"> De</w:t>
      </w:r>
      <w:r>
        <w:t xml:space="preserve"> un</w:t>
      </w:r>
      <w:r w:rsidRPr="00BC0C8F">
        <w:t xml:space="preserve"> total vigente de la deuda externa de US$134</w:t>
      </w:r>
      <w:r>
        <w:t>,</w:t>
      </w:r>
      <w:r w:rsidRPr="00BC0C8F">
        <w:t xml:space="preserve">6 </w:t>
      </w:r>
      <w:r>
        <w:t>mil millones en 2013</w:t>
      </w:r>
      <w:r w:rsidRPr="00BC0C8F">
        <w:t>, 26% correspondía a pasivos de los inversionistas extranjeros</w:t>
      </w:r>
      <w:r>
        <w:t xml:space="preserve"> directos</w:t>
      </w:r>
      <w:r w:rsidRPr="00BC0C8F">
        <w:t xml:space="preserve">. </w:t>
      </w:r>
    </w:p>
  </w:footnote>
  <w:footnote w:id="20">
    <w:p w14:paraId="1905676B" w14:textId="4763B886" w:rsidR="00357368" w:rsidRPr="00496075" w:rsidRDefault="00357368" w:rsidP="00213070">
      <w:pPr>
        <w:pStyle w:val="Textonotapie"/>
        <w:rPr>
          <w:lang w:val="es-ES"/>
        </w:rPr>
      </w:pPr>
      <w:r w:rsidRPr="00496075">
        <w:rPr>
          <w:rStyle w:val="Refdenotaalpie"/>
        </w:rPr>
        <w:footnoteRef/>
      </w:r>
      <w:r w:rsidRPr="00496075">
        <w:t xml:space="preserve"> </w:t>
      </w:r>
      <w:r w:rsidRPr="00496075">
        <w:rPr>
          <w:lang w:val="es-ES"/>
        </w:rPr>
        <w:t>Se argumenta que el alza del IVA tendría un efecto regresivo, pues las familias de menores ingresos consumen un porcentaje más alto de su ingreso. Esto último es efectivo; sin embargo, también debe considerar</w:t>
      </w:r>
      <w:r>
        <w:rPr>
          <w:lang w:val="es-ES"/>
        </w:rPr>
        <w:t>se</w:t>
      </w:r>
      <w:r w:rsidRPr="00496075">
        <w:rPr>
          <w:lang w:val="es-ES"/>
        </w:rPr>
        <w:t xml:space="preserve"> que el quintil más rico paga cerca de diez veces más IVA que el quintil pobre y los mayores recursos serían transferidos principalmente a estas familias a través del aumento del gasto social. El efecto neto resultó evidentemente progresivo. Con el transcurso del tiempo, la tasa del IVA se elevó a 19% y el de las empresas a 17% primero y luego a 20%, para compensar rebajas de otros gravámenes. La carga se mantuvo alrededor del 18%</w:t>
      </w:r>
      <w:r>
        <w:rPr>
          <w:lang w:val="es-ES"/>
        </w:rPr>
        <w:t xml:space="preserve"> del PIB, tasa a la  que se elevó la carga tributaria con la reforma de 1990</w:t>
      </w:r>
      <w:r w:rsidRPr="00496075">
        <w:rPr>
          <w:lang w:val="es-ES"/>
        </w:rPr>
        <w:t>.</w:t>
      </w:r>
    </w:p>
  </w:footnote>
  <w:footnote w:id="21">
    <w:p w14:paraId="6EE1D3B5" w14:textId="6303CBF0" w:rsidR="00357368" w:rsidRDefault="00357368">
      <w:pPr>
        <w:pStyle w:val="Textonotapie"/>
      </w:pPr>
      <w:r>
        <w:rPr>
          <w:rStyle w:val="Refdenotaalpie"/>
        </w:rPr>
        <w:footnoteRef/>
      </w:r>
      <w:r>
        <w:t xml:space="preserve"> Con este cambio desaparecía el incentivo tributario a la reinversión en la misma empresa o grupo económico, pero también en las sociedades de inversión y en el exterior por los grupos económicos (creciente destino de las utilidades no distribuidas).</w:t>
      </w:r>
    </w:p>
  </w:footnote>
  <w:footnote w:id="22">
    <w:p w14:paraId="1F60A978" w14:textId="79FBC3EB" w:rsidR="00357368" w:rsidRPr="002C250D" w:rsidRDefault="00357368" w:rsidP="00213070">
      <w:pPr>
        <w:pStyle w:val="Textonotapie"/>
        <w:rPr>
          <w:lang w:val="es-ES"/>
        </w:rPr>
      </w:pPr>
      <w:r w:rsidRPr="00C43DE1">
        <w:rPr>
          <w:rStyle w:val="Refdenotaalpie"/>
        </w:rPr>
        <w:footnoteRef/>
      </w:r>
      <w:r w:rsidRPr="00C43DE1">
        <w:t xml:space="preserve"> </w:t>
      </w:r>
      <w:r>
        <w:t xml:space="preserve">Tal </w:t>
      </w:r>
      <w:r w:rsidRPr="00C43DE1">
        <w:rPr>
          <w:lang w:val="es-ES"/>
        </w:rPr>
        <w:t>reforma no tiene efecto</w:t>
      </w:r>
      <w:r>
        <w:rPr>
          <w:lang w:val="es-ES"/>
        </w:rPr>
        <w:t>s</w:t>
      </w:r>
      <w:r w:rsidRPr="00C43DE1">
        <w:rPr>
          <w:lang w:val="es-ES"/>
        </w:rPr>
        <w:t xml:space="preserve"> </w:t>
      </w:r>
      <w:r>
        <w:rPr>
          <w:lang w:val="es-ES"/>
        </w:rPr>
        <w:t>p</w:t>
      </w:r>
      <w:r w:rsidRPr="00C43DE1">
        <w:rPr>
          <w:lang w:val="es-ES"/>
        </w:rPr>
        <w:t xml:space="preserve">ara  los dueños de PYMEs </w:t>
      </w:r>
      <w:r>
        <w:rPr>
          <w:lang w:val="es-ES"/>
        </w:rPr>
        <w:t>cuyos ingresos los</w:t>
      </w:r>
      <w:r w:rsidRPr="00C43DE1">
        <w:rPr>
          <w:lang w:val="es-ES"/>
        </w:rPr>
        <w:t xml:space="preserve"> ubican en tramos con tasas de impuesto marginal </w:t>
      </w:r>
      <w:r>
        <w:rPr>
          <w:lang w:val="es-ES"/>
        </w:rPr>
        <w:t xml:space="preserve">del IGC </w:t>
      </w:r>
      <w:r w:rsidRPr="00C43DE1">
        <w:rPr>
          <w:lang w:val="es-ES"/>
        </w:rPr>
        <w:t>menores a 25%, precisamente porque el crédito tributario de 25% que recibe</w:t>
      </w:r>
      <w:r>
        <w:rPr>
          <w:lang w:val="es-ES"/>
        </w:rPr>
        <w:t>n</w:t>
      </w:r>
      <w:r w:rsidRPr="00C43DE1">
        <w:rPr>
          <w:lang w:val="es-ES"/>
        </w:rPr>
        <w:t xml:space="preserve"> por el impuesto pagado por sus utilidades</w:t>
      </w:r>
      <w:r>
        <w:rPr>
          <w:lang w:val="es-ES"/>
        </w:rPr>
        <w:t xml:space="preserve"> empresariales</w:t>
      </w:r>
      <w:r w:rsidRPr="00C43DE1">
        <w:rPr>
          <w:lang w:val="es-ES"/>
        </w:rPr>
        <w:t xml:space="preserve"> </w:t>
      </w:r>
      <w:r>
        <w:rPr>
          <w:lang w:val="es-ES"/>
        </w:rPr>
        <w:t>implica</w:t>
      </w:r>
      <w:r w:rsidRPr="00C43DE1">
        <w:rPr>
          <w:lang w:val="es-ES"/>
        </w:rPr>
        <w:t xml:space="preserve"> que se le</w:t>
      </w:r>
      <w:r>
        <w:rPr>
          <w:lang w:val="es-ES"/>
        </w:rPr>
        <w:t>s devuelve</w:t>
      </w:r>
      <w:r w:rsidRPr="00C43DE1">
        <w:rPr>
          <w:lang w:val="es-ES"/>
        </w:rPr>
        <w:t xml:space="preserve"> la diferencia entre el 25% y la tasa que tiene</w:t>
      </w:r>
      <w:r>
        <w:rPr>
          <w:lang w:val="es-ES"/>
        </w:rPr>
        <w:t>n</w:t>
      </w:r>
      <w:r w:rsidRPr="00C43DE1">
        <w:rPr>
          <w:lang w:val="es-ES"/>
        </w:rPr>
        <w:t xml:space="preserve"> que pagar</w:t>
      </w:r>
      <w:r>
        <w:rPr>
          <w:lang w:val="es-ES"/>
        </w:rPr>
        <w:t xml:space="preserve"> en el IGC</w:t>
      </w:r>
      <w:r w:rsidRPr="00C43DE1">
        <w:rPr>
          <w:lang w:val="es-ES"/>
        </w:rPr>
        <w:t>. Esto ocurr</w:t>
      </w:r>
      <w:r>
        <w:rPr>
          <w:lang w:val="es-ES"/>
        </w:rPr>
        <w:t>ía</w:t>
      </w:r>
      <w:r w:rsidRPr="00C43DE1">
        <w:rPr>
          <w:lang w:val="es-ES"/>
        </w:rPr>
        <w:t xml:space="preserve"> para el 98,7% de los contribuyentes </w:t>
      </w:r>
      <w:r>
        <w:rPr>
          <w:lang w:val="es-ES"/>
        </w:rPr>
        <w:t xml:space="preserve">del IGC </w:t>
      </w:r>
      <w:r w:rsidRPr="00C43DE1">
        <w:rPr>
          <w:lang w:val="es-ES"/>
        </w:rPr>
        <w:t>en 2014</w:t>
      </w:r>
      <w:r>
        <w:rPr>
          <w:lang w:val="es-ES"/>
        </w:rPr>
        <w:t xml:space="preserve"> (Agostini, 2014).</w:t>
      </w:r>
      <w:r w:rsidRPr="00C43DE1">
        <w:rPr>
          <w:lang w:val="es-ES"/>
        </w:rPr>
        <w:t xml:space="preserve"> </w:t>
      </w:r>
    </w:p>
  </w:footnote>
  <w:footnote w:id="23">
    <w:p w14:paraId="60853E78" w14:textId="5D081AE9" w:rsidR="00357368" w:rsidRDefault="00357368" w:rsidP="00F50750">
      <w:pPr>
        <w:pStyle w:val="Textonotapie"/>
      </w:pPr>
      <w:r>
        <w:rPr>
          <w:rStyle w:val="Refdenotaalpie"/>
        </w:rPr>
        <w:footnoteRef/>
      </w:r>
      <w:r>
        <w:t xml:space="preserve"> Esta sección está basada en  Ffrench-Davis (2016b, secciones 3a y 3b).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AA1"/>
    <w:multiLevelType w:val="hybridMultilevel"/>
    <w:tmpl w:val="C6E248EC"/>
    <w:lvl w:ilvl="0" w:tplc="F760C9B6">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15:restartNumberingAfterBreak="0">
    <w:nsid w:val="0D790B22"/>
    <w:multiLevelType w:val="hybridMultilevel"/>
    <w:tmpl w:val="822664AC"/>
    <w:lvl w:ilvl="0" w:tplc="55EEE91C">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120A3E09"/>
    <w:multiLevelType w:val="hybridMultilevel"/>
    <w:tmpl w:val="C576CF60"/>
    <w:lvl w:ilvl="0" w:tplc="A2DA3856">
      <w:start w:val="1"/>
      <w:numFmt w:val="lowerLetter"/>
      <w:lvlText w:val="%1)"/>
      <w:lvlJc w:val="left"/>
      <w:pPr>
        <w:ind w:left="36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15010E24"/>
    <w:multiLevelType w:val="hybridMultilevel"/>
    <w:tmpl w:val="6960178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4E7F50"/>
    <w:multiLevelType w:val="hybridMultilevel"/>
    <w:tmpl w:val="C576CF60"/>
    <w:lvl w:ilvl="0" w:tplc="A2DA3856">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3D924FF7"/>
    <w:multiLevelType w:val="hybridMultilevel"/>
    <w:tmpl w:val="E934EF62"/>
    <w:lvl w:ilvl="0" w:tplc="1DA4934E">
      <w:start w:val="1"/>
      <w:numFmt w:val="lowerLetter"/>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2115E5"/>
    <w:multiLevelType w:val="hybridMultilevel"/>
    <w:tmpl w:val="C8D88EDA"/>
    <w:lvl w:ilvl="0" w:tplc="AC9A2C1E">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54A5767D"/>
    <w:multiLevelType w:val="hybridMultilevel"/>
    <w:tmpl w:val="C8C24736"/>
    <w:lvl w:ilvl="0" w:tplc="D55265FA">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15:restartNumberingAfterBreak="0">
    <w:nsid w:val="59A313DE"/>
    <w:multiLevelType w:val="hybridMultilevel"/>
    <w:tmpl w:val="DAE87622"/>
    <w:lvl w:ilvl="0" w:tplc="B3A8C458">
      <w:start w:val="1"/>
      <w:numFmt w:val="lowerLetter"/>
      <w:lvlText w:val="%1)"/>
      <w:lvlJc w:val="left"/>
      <w:pPr>
        <w:ind w:left="1065" w:hanging="360"/>
      </w:pPr>
      <w:rPr>
        <w:rFonts w:hint="default"/>
        <w:color w:val="auto"/>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9" w15:restartNumberingAfterBreak="0">
    <w:nsid w:val="646F3336"/>
    <w:multiLevelType w:val="hybridMultilevel"/>
    <w:tmpl w:val="FAC4BC5C"/>
    <w:lvl w:ilvl="0" w:tplc="CC20A09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74DD067A"/>
    <w:multiLevelType w:val="hybridMultilevel"/>
    <w:tmpl w:val="9BCA170E"/>
    <w:lvl w:ilvl="0" w:tplc="EAC2BDF2">
      <w:start w:val="2"/>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15:restartNumberingAfterBreak="0">
    <w:nsid w:val="7C3B316C"/>
    <w:multiLevelType w:val="hybridMultilevel"/>
    <w:tmpl w:val="1F7C5004"/>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9"/>
  </w:num>
  <w:num w:numId="8">
    <w:abstractNumId w:val="6"/>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D2"/>
    <w:rsid w:val="000036AD"/>
    <w:rsid w:val="00010523"/>
    <w:rsid w:val="00010ADD"/>
    <w:rsid w:val="00011167"/>
    <w:rsid w:val="000126EA"/>
    <w:rsid w:val="000127D9"/>
    <w:rsid w:val="0001322E"/>
    <w:rsid w:val="0001642A"/>
    <w:rsid w:val="00020D43"/>
    <w:rsid w:val="00020DFC"/>
    <w:rsid w:val="0002375D"/>
    <w:rsid w:val="00025315"/>
    <w:rsid w:val="00030563"/>
    <w:rsid w:val="00030643"/>
    <w:rsid w:val="000321E5"/>
    <w:rsid w:val="00032536"/>
    <w:rsid w:val="00032E2E"/>
    <w:rsid w:val="00036869"/>
    <w:rsid w:val="0003687C"/>
    <w:rsid w:val="000377C0"/>
    <w:rsid w:val="000404B6"/>
    <w:rsid w:val="00041062"/>
    <w:rsid w:val="0004108B"/>
    <w:rsid w:val="00041EA7"/>
    <w:rsid w:val="0004297E"/>
    <w:rsid w:val="00042AED"/>
    <w:rsid w:val="00042D9A"/>
    <w:rsid w:val="00044E9C"/>
    <w:rsid w:val="00045393"/>
    <w:rsid w:val="00045859"/>
    <w:rsid w:val="000458B1"/>
    <w:rsid w:val="00046939"/>
    <w:rsid w:val="0005033C"/>
    <w:rsid w:val="00050BA0"/>
    <w:rsid w:val="00051269"/>
    <w:rsid w:val="00054B7D"/>
    <w:rsid w:val="000551F5"/>
    <w:rsid w:val="00055C0C"/>
    <w:rsid w:val="00055FA2"/>
    <w:rsid w:val="000624A6"/>
    <w:rsid w:val="00067023"/>
    <w:rsid w:val="00070C10"/>
    <w:rsid w:val="00071CFD"/>
    <w:rsid w:val="000751B2"/>
    <w:rsid w:val="00076C96"/>
    <w:rsid w:val="00076DE7"/>
    <w:rsid w:val="00080400"/>
    <w:rsid w:val="00080BB4"/>
    <w:rsid w:val="00080D5B"/>
    <w:rsid w:val="00083E02"/>
    <w:rsid w:val="00084B3D"/>
    <w:rsid w:val="000850A6"/>
    <w:rsid w:val="00085AE9"/>
    <w:rsid w:val="00085D19"/>
    <w:rsid w:val="00085EE8"/>
    <w:rsid w:val="00086D04"/>
    <w:rsid w:val="0009027C"/>
    <w:rsid w:val="00091175"/>
    <w:rsid w:val="0009139E"/>
    <w:rsid w:val="0009519F"/>
    <w:rsid w:val="00095A54"/>
    <w:rsid w:val="00095C6F"/>
    <w:rsid w:val="0009710E"/>
    <w:rsid w:val="000978A2"/>
    <w:rsid w:val="000A1117"/>
    <w:rsid w:val="000A1685"/>
    <w:rsid w:val="000A16DC"/>
    <w:rsid w:val="000A20B6"/>
    <w:rsid w:val="000A21B4"/>
    <w:rsid w:val="000A2F3A"/>
    <w:rsid w:val="000A6F20"/>
    <w:rsid w:val="000A7A8D"/>
    <w:rsid w:val="000A7B5B"/>
    <w:rsid w:val="000B17DF"/>
    <w:rsid w:val="000B1DBE"/>
    <w:rsid w:val="000B3065"/>
    <w:rsid w:val="000B3C6A"/>
    <w:rsid w:val="000B463C"/>
    <w:rsid w:val="000B5A56"/>
    <w:rsid w:val="000C138A"/>
    <w:rsid w:val="000C2098"/>
    <w:rsid w:val="000C67BF"/>
    <w:rsid w:val="000C70FF"/>
    <w:rsid w:val="000C73ED"/>
    <w:rsid w:val="000D29FB"/>
    <w:rsid w:val="000D3909"/>
    <w:rsid w:val="000D4FE5"/>
    <w:rsid w:val="000D55AA"/>
    <w:rsid w:val="000D7EE1"/>
    <w:rsid w:val="000E0D70"/>
    <w:rsid w:val="000E0F15"/>
    <w:rsid w:val="000E4D74"/>
    <w:rsid w:val="000E700B"/>
    <w:rsid w:val="000F1217"/>
    <w:rsid w:val="000F1A3F"/>
    <w:rsid w:val="000F2110"/>
    <w:rsid w:val="000F39B8"/>
    <w:rsid w:val="000F440A"/>
    <w:rsid w:val="000F6292"/>
    <w:rsid w:val="000F6D47"/>
    <w:rsid w:val="00100743"/>
    <w:rsid w:val="00101C2A"/>
    <w:rsid w:val="00106432"/>
    <w:rsid w:val="001075CE"/>
    <w:rsid w:val="00107A09"/>
    <w:rsid w:val="00107B70"/>
    <w:rsid w:val="0011226F"/>
    <w:rsid w:val="001126DC"/>
    <w:rsid w:val="00114494"/>
    <w:rsid w:val="00115E0C"/>
    <w:rsid w:val="001160A2"/>
    <w:rsid w:val="001218E1"/>
    <w:rsid w:val="00122D95"/>
    <w:rsid w:val="00126153"/>
    <w:rsid w:val="00126FD1"/>
    <w:rsid w:val="0013375A"/>
    <w:rsid w:val="00135CCA"/>
    <w:rsid w:val="001361D1"/>
    <w:rsid w:val="0013640E"/>
    <w:rsid w:val="00136D43"/>
    <w:rsid w:val="00140533"/>
    <w:rsid w:val="001412E4"/>
    <w:rsid w:val="001436B3"/>
    <w:rsid w:val="00145CBD"/>
    <w:rsid w:val="00146ED6"/>
    <w:rsid w:val="00150EBE"/>
    <w:rsid w:val="00150FD8"/>
    <w:rsid w:val="00151A9D"/>
    <w:rsid w:val="0015312B"/>
    <w:rsid w:val="00153A14"/>
    <w:rsid w:val="0016016B"/>
    <w:rsid w:val="00160990"/>
    <w:rsid w:val="00162417"/>
    <w:rsid w:val="001625D7"/>
    <w:rsid w:val="00162FBE"/>
    <w:rsid w:val="00167528"/>
    <w:rsid w:val="0016776A"/>
    <w:rsid w:val="001677ED"/>
    <w:rsid w:val="00167F34"/>
    <w:rsid w:val="00175620"/>
    <w:rsid w:val="00176AE6"/>
    <w:rsid w:val="001872A0"/>
    <w:rsid w:val="00192473"/>
    <w:rsid w:val="00192507"/>
    <w:rsid w:val="00193804"/>
    <w:rsid w:val="00195318"/>
    <w:rsid w:val="00197D74"/>
    <w:rsid w:val="001A3513"/>
    <w:rsid w:val="001A3D67"/>
    <w:rsid w:val="001A52FE"/>
    <w:rsid w:val="001A78B6"/>
    <w:rsid w:val="001B0235"/>
    <w:rsid w:val="001B0F65"/>
    <w:rsid w:val="001B1C5B"/>
    <w:rsid w:val="001B2514"/>
    <w:rsid w:val="001B2701"/>
    <w:rsid w:val="001B3003"/>
    <w:rsid w:val="001B31E2"/>
    <w:rsid w:val="001B3750"/>
    <w:rsid w:val="001B3BFF"/>
    <w:rsid w:val="001B3D92"/>
    <w:rsid w:val="001B5A84"/>
    <w:rsid w:val="001B66CD"/>
    <w:rsid w:val="001B705D"/>
    <w:rsid w:val="001C20D3"/>
    <w:rsid w:val="001C3445"/>
    <w:rsid w:val="001C3977"/>
    <w:rsid w:val="001C4A3F"/>
    <w:rsid w:val="001C5906"/>
    <w:rsid w:val="001C6D86"/>
    <w:rsid w:val="001D1864"/>
    <w:rsid w:val="001D1ACB"/>
    <w:rsid w:val="001D6943"/>
    <w:rsid w:val="001E21D3"/>
    <w:rsid w:val="001E39A9"/>
    <w:rsid w:val="001E588B"/>
    <w:rsid w:val="001E5EC2"/>
    <w:rsid w:val="001E5F0C"/>
    <w:rsid w:val="001E7C35"/>
    <w:rsid w:val="001F08E0"/>
    <w:rsid w:val="001F0BD0"/>
    <w:rsid w:val="001F2A06"/>
    <w:rsid w:val="001F5ACE"/>
    <w:rsid w:val="001F76D2"/>
    <w:rsid w:val="002000D9"/>
    <w:rsid w:val="00200958"/>
    <w:rsid w:val="00200ADE"/>
    <w:rsid w:val="00202CE7"/>
    <w:rsid w:val="0020627B"/>
    <w:rsid w:val="00206F78"/>
    <w:rsid w:val="00207699"/>
    <w:rsid w:val="00207CD9"/>
    <w:rsid w:val="002108B4"/>
    <w:rsid w:val="00211DDF"/>
    <w:rsid w:val="00213070"/>
    <w:rsid w:val="00213769"/>
    <w:rsid w:val="002142D7"/>
    <w:rsid w:val="002160AA"/>
    <w:rsid w:val="00217006"/>
    <w:rsid w:val="00223433"/>
    <w:rsid w:val="002235C1"/>
    <w:rsid w:val="002266CC"/>
    <w:rsid w:val="0023055A"/>
    <w:rsid w:val="002309D0"/>
    <w:rsid w:val="002312F3"/>
    <w:rsid w:val="00232758"/>
    <w:rsid w:val="00232D74"/>
    <w:rsid w:val="00236D0F"/>
    <w:rsid w:val="0024154B"/>
    <w:rsid w:val="002439E8"/>
    <w:rsid w:val="00244449"/>
    <w:rsid w:val="00246BAA"/>
    <w:rsid w:val="00247190"/>
    <w:rsid w:val="0024793C"/>
    <w:rsid w:val="00251C32"/>
    <w:rsid w:val="00252457"/>
    <w:rsid w:val="00252D8C"/>
    <w:rsid w:val="002532F5"/>
    <w:rsid w:val="00253B6F"/>
    <w:rsid w:val="00253C57"/>
    <w:rsid w:val="00254621"/>
    <w:rsid w:val="00254C52"/>
    <w:rsid w:val="002574E6"/>
    <w:rsid w:val="00260336"/>
    <w:rsid w:val="00260D9B"/>
    <w:rsid w:val="002633D8"/>
    <w:rsid w:val="0026652B"/>
    <w:rsid w:val="002669C0"/>
    <w:rsid w:val="00267C50"/>
    <w:rsid w:val="00267D40"/>
    <w:rsid w:val="002729A0"/>
    <w:rsid w:val="00272BCA"/>
    <w:rsid w:val="00275725"/>
    <w:rsid w:val="00276894"/>
    <w:rsid w:val="00276F0A"/>
    <w:rsid w:val="00277C63"/>
    <w:rsid w:val="00281D97"/>
    <w:rsid w:val="00282356"/>
    <w:rsid w:val="00282C3F"/>
    <w:rsid w:val="002831EA"/>
    <w:rsid w:val="0029381A"/>
    <w:rsid w:val="00297C7E"/>
    <w:rsid w:val="00297F36"/>
    <w:rsid w:val="002A241A"/>
    <w:rsid w:val="002A3B86"/>
    <w:rsid w:val="002A46FD"/>
    <w:rsid w:val="002A49EF"/>
    <w:rsid w:val="002A5ADE"/>
    <w:rsid w:val="002A66DD"/>
    <w:rsid w:val="002A6FE0"/>
    <w:rsid w:val="002A7308"/>
    <w:rsid w:val="002B2131"/>
    <w:rsid w:val="002B4205"/>
    <w:rsid w:val="002B464C"/>
    <w:rsid w:val="002B4BE8"/>
    <w:rsid w:val="002B5A94"/>
    <w:rsid w:val="002B7F93"/>
    <w:rsid w:val="002B7FC5"/>
    <w:rsid w:val="002C2EFF"/>
    <w:rsid w:val="002C4A33"/>
    <w:rsid w:val="002C7444"/>
    <w:rsid w:val="002D22BC"/>
    <w:rsid w:val="002D2496"/>
    <w:rsid w:val="002D3593"/>
    <w:rsid w:val="002D40CC"/>
    <w:rsid w:val="002D5525"/>
    <w:rsid w:val="002D67A3"/>
    <w:rsid w:val="002D7454"/>
    <w:rsid w:val="002D7763"/>
    <w:rsid w:val="002D7AC0"/>
    <w:rsid w:val="002E5663"/>
    <w:rsid w:val="002E69A6"/>
    <w:rsid w:val="002E6F69"/>
    <w:rsid w:val="002F1C37"/>
    <w:rsid w:val="002F5B0D"/>
    <w:rsid w:val="002F6F2A"/>
    <w:rsid w:val="00304E2A"/>
    <w:rsid w:val="00313762"/>
    <w:rsid w:val="0031505D"/>
    <w:rsid w:val="00315462"/>
    <w:rsid w:val="00316333"/>
    <w:rsid w:val="00320FA6"/>
    <w:rsid w:val="00321007"/>
    <w:rsid w:val="00321EA9"/>
    <w:rsid w:val="00324185"/>
    <w:rsid w:val="00324598"/>
    <w:rsid w:val="00324F39"/>
    <w:rsid w:val="003269D0"/>
    <w:rsid w:val="00326FFB"/>
    <w:rsid w:val="00330DBB"/>
    <w:rsid w:val="00330FD2"/>
    <w:rsid w:val="003319FC"/>
    <w:rsid w:val="003327E2"/>
    <w:rsid w:val="0033288D"/>
    <w:rsid w:val="003341D6"/>
    <w:rsid w:val="00341EE0"/>
    <w:rsid w:val="00342A02"/>
    <w:rsid w:val="00343254"/>
    <w:rsid w:val="00344BBA"/>
    <w:rsid w:val="00345266"/>
    <w:rsid w:val="00347794"/>
    <w:rsid w:val="00347C7D"/>
    <w:rsid w:val="00351D12"/>
    <w:rsid w:val="00352710"/>
    <w:rsid w:val="00352FDD"/>
    <w:rsid w:val="0035349F"/>
    <w:rsid w:val="003564B7"/>
    <w:rsid w:val="00356BD4"/>
    <w:rsid w:val="00357368"/>
    <w:rsid w:val="0036497E"/>
    <w:rsid w:val="00365E2D"/>
    <w:rsid w:val="00367517"/>
    <w:rsid w:val="003712E6"/>
    <w:rsid w:val="00371488"/>
    <w:rsid w:val="00371B24"/>
    <w:rsid w:val="00373427"/>
    <w:rsid w:val="00374038"/>
    <w:rsid w:val="00374846"/>
    <w:rsid w:val="0037608E"/>
    <w:rsid w:val="00377BEA"/>
    <w:rsid w:val="003818FA"/>
    <w:rsid w:val="00381F49"/>
    <w:rsid w:val="00381FA6"/>
    <w:rsid w:val="003840ED"/>
    <w:rsid w:val="00384C1A"/>
    <w:rsid w:val="00384CF9"/>
    <w:rsid w:val="00385137"/>
    <w:rsid w:val="00392707"/>
    <w:rsid w:val="003950C7"/>
    <w:rsid w:val="00395376"/>
    <w:rsid w:val="00397949"/>
    <w:rsid w:val="003A1215"/>
    <w:rsid w:val="003A3BF0"/>
    <w:rsid w:val="003A45D1"/>
    <w:rsid w:val="003A6DD8"/>
    <w:rsid w:val="003B0767"/>
    <w:rsid w:val="003B0FC2"/>
    <w:rsid w:val="003B2354"/>
    <w:rsid w:val="003B3389"/>
    <w:rsid w:val="003B3BB9"/>
    <w:rsid w:val="003B4AF9"/>
    <w:rsid w:val="003B6700"/>
    <w:rsid w:val="003B7A2F"/>
    <w:rsid w:val="003C1056"/>
    <w:rsid w:val="003C19CA"/>
    <w:rsid w:val="003C2150"/>
    <w:rsid w:val="003C2D0A"/>
    <w:rsid w:val="003C3555"/>
    <w:rsid w:val="003C630B"/>
    <w:rsid w:val="003C67AF"/>
    <w:rsid w:val="003C7703"/>
    <w:rsid w:val="003D06EF"/>
    <w:rsid w:val="003D3E80"/>
    <w:rsid w:val="003D664B"/>
    <w:rsid w:val="003D7CDF"/>
    <w:rsid w:val="003E14CB"/>
    <w:rsid w:val="003E2C29"/>
    <w:rsid w:val="003E4541"/>
    <w:rsid w:val="003E75B8"/>
    <w:rsid w:val="003E7980"/>
    <w:rsid w:val="003F0EC0"/>
    <w:rsid w:val="003F4EE0"/>
    <w:rsid w:val="003F6C1E"/>
    <w:rsid w:val="00400D91"/>
    <w:rsid w:val="00402ABD"/>
    <w:rsid w:val="0040379F"/>
    <w:rsid w:val="004064C6"/>
    <w:rsid w:val="0040731A"/>
    <w:rsid w:val="004102F3"/>
    <w:rsid w:val="00413360"/>
    <w:rsid w:val="0041352C"/>
    <w:rsid w:val="00413535"/>
    <w:rsid w:val="00414444"/>
    <w:rsid w:val="00414F5D"/>
    <w:rsid w:val="00415606"/>
    <w:rsid w:val="004166BF"/>
    <w:rsid w:val="004169B0"/>
    <w:rsid w:val="00416D15"/>
    <w:rsid w:val="00420D62"/>
    <w:rsid w:val="00421217"/>
    <w:rsid w:val="00421859"/>
    <w:rsid w:val="00423F0D"/>
    <w:rsid w:val="00424829"/>
    <w:rsid w:val="00425F7D"/>
    <w:rsid w:val="00430D0E"/>
    <w:rsid w:val="0043193D"/>
    <w:rsid w:val="004320A6"/>
    <w:rsid w:val="00433205"/>
    <w:rsid w:val="00433FF4"/>
    <w:rsid w:val="00434F4C"/>
    <w:rsid w:val="004357A8"/>
    <w:rsid w:val="00440190"/>
    <w:rsid w:val="0044042C"/>
    <w:rsid w:val="0044367F"/>
    <w:rsid w:val="00444EE3"/>
    <w:rsid w:val="00446769"/>
    <w:rsid w:val="00450F00"/>
    <w:rsid w:val="00455A7E"/>
    <w:rsid w:val="004565F8"/>
    <w:rsid w:val="0046004D"/>
    <w:rsid w:val="00460E6C"/>
    <w:rsid w:val="0046317A"/>
    <w:rsid w:val="00464E87"/>
    <w:rsid w:val="004751B4"/>
    <w:rsid w:val="004756F2"/>
    <w:rsid w:val="00481AA1"/>
    <w:rsid w:val="004856DA"/>
    <w:rsid w:val="0048584E"/>
    <w:rsid w:val="0049182D"/>
    <w:rsid w:val="00491F05"/>
    <w:rsid w:val="004929DD"/>
    <w:rsid w:val="00496075"/>
    <w:rsid w:val="004A09AD"/>
    <w:rsid w:val="004A27A5"/>
    <w:rsid w:val="004A284C"/>
    <w:rsid w:val="004A30DF"/>
    <w:rsid w:val="004A34C9"/>
    <w:rsid w:val="004A41C3"/>
    <w:rsid w:val="004A43A4"/>
    <w:rsid w:val="004A5AC4"/>
    <w:rsid w:val="004A7FF4"/>
    <w:rsid w:val="004B1CB1"/>
    <w:rsid w:val="004B1DB4"/>
    <w:rsid w:val="004B39D5"/>
    <w:rsid w:val="004B3CE9"/>
    <w:rsid w:val="004B402E"/>
    <w:rsid w:val="004B6295"/>
    <w:rsid w:val="004B7C92"/>
    <w:rsid w:val="004B7FB3"/>
    <w:rsid w:val="004D3D59"/>
    <w:rsid w:val="004D4ABA"/>
    <w:rsid w:val="004D4F42"/>
    <w:rsid w:val="004D503E"/>
    <w:rsid w:val="004D55CD"/>
    <w:rsid w:val="004D685B"/>
    <w:rsid w:val="004E5E03"/>
    <w:rsid w:val="004E640E"/>
    <w:rsid w:val="004E6694"/>
    <w:rsid w:val="004E77DB"/>
    <w:rsid w:val="004F12B1"/>
    <w:rsid w:val="004F13A9"/>
    <w:rsid w:val="004F721C"/>
    <w:rsid w:val="00503244"/>
    <w:rsid w:val="00507146"/>
    <w:rsid w:val="00511DEA"/>
    <w:rsid w:val="005122D0"/>
    <w:rsid w:val="00512572"/>
    <w:rsid w:val="005139F0"/>
    <w:rsid w:val="00513E83"/>
    <w:rsid w:val="005233E0"/>
    <w:rsid w:val="00524249"/>
    <w:rsid w:val="0052765F"/>
    <w:rsid w:val="005301C3"/>
    <w:rsid w:val="00530F11"/>
    <w:rsid w:val="0053226B"/>
    <w:rsid w:val="00532FE4"/>
    <w:rsid w:val="00533BF6"/>
    <w:rsid w:val="0053417B"/>
    <w:rsid w:val="00536C0B"/>
    <w:rsid w:val="005374B0"/>
    <w:rsid w:val="0054057D"/>
    <w:rsid w:val="00541EA1"/>
    <w:rsid w:val="005434C1"/>
    <w:rsid w:val="00544EE6"/>
    <w:rsid w:val="0055126A"/>
    <w:rsid w:val="00551B92"/>
    <w:rsid w:val="00557571"/>
    <w:rsid w:val="005607CA"/>
    <w:rsid w:val="005630B7"/>
    <w:rsid w:val="005637F0"/>
    <w:rsid w:val="00563D2B"/>
    <w:rsid w:val="0056596F"/>
    <w:rsid w:val="005663F4"/>
    <w:rsid w:val="00570660"/>
    <w:rsid w:val="00571045"/>
    <w:rsid w:val="00571703"/>
    <w:rsid w:val="00572835"/>
    <w:rsid w:val="005753C8"/>
    <w:rsid w:val="00576EDC"/>
    <w:rsid w:val="00580609"/>
    <w:rsid w:val="00580F1B"/>
    <w:rsid w:val="00582782"/>
    <w:rsid w:val="0058447C"/>
    <w:rsid w:val="00585877"/>
    <w:rsid w:val="00585A02"/>
    <w:rsid w:val="00586D61"/>
    <w:rsid w:val="005901DB"/>
    <w:rsid w:val="00592741"/>
    <w:rsid w:val="00593645"/>
    <w:rsid w:val="0059596F"/>
    <w:rsid w:val="00597495"/>
    <w:rsid w:val="005A3472"/>
    <w:rsid w:val="005A40E2"/>
    <w:rsid w:val="005A41AF"/>
    <w:rsid w:val="005A4D0C"/>
    <w:rsid w:val="005B11C7"/>
    <w:rsid w:val="005B1F61"/>
    <w:rsid w:val="005B32EF"/>
    <w:rsid w:val="005B3C60"/>
    <w:rsid w:val="005B544E"/>
    <w:rsid w:val="005B5D3E"/>
    <w:rsid w:val="005B7DFB"/>
    <w:rsid w:val="005C038D"/>
    <w:rsid w:val="005C08B9"/>
    <w:rsid w:val="005C20D3"/>
    <w:rsid w:val="005C40BB"/>
    <w:rsid w:val="005C4586"/>
    <w:rsid w:val="005C5893"/>
    <w:rsid w:val="005C60C2"/>
    <w:rsid w:val="005C740E"/>
    <w:rsid w:val="005D0D3A"/>
    <w:rsid w:val="005D0ED5"/>
    <w:rsid w:val="005D4A5B"/>
    <w:rsid w:val="005D53E3"/>
    <w:rsid w:val="005D764B"/>
    <w:rsid w:val="005E0412"/>
    <w:rsid w:val="005E1ACB"/>
    <w:rsid w:val="005E22ED"/>
    <w:rsid w:val="005E6BCA"/>
    <w:rsid w:val="005E7239"/>
    <w:rsid w:val="005F2570"/>
    <w:rsid w:val="005F286B"/>
    <w:rsid w:val="005F4B7C"/>
    <w:rsid w:val="005F4B8B"/>
    <w:rsid w:val="005F64C2"/>
    <w:rsid w:val="005F661B"/>
    <w:rsid w:val="005F672D"/>
    <w:rsid w:val="0060066D"/>
    <w:rsid w:val="00602D1E"/>
    <w:rsid w:val="006033B8"/>
    <w:rsid w:val="006035DF"/>
    <w:rsid w:val="006041A0"/>
    <w:rsid w:val="00604F48"/>
    <w:rsid w:val="0060529E"/>
    <w:rsid w:val="006063B4"/>
    <w:rsid w:val="006104A4"/>
    <w:rsid w:val="00611565"/>
    <w:rsid w:val="00611819"/>
    <w:rsid w:val="0061548E"/>
    <w:rsid w:val="0061551C"/>
    <w:rsid w:val="00620830"/>
    <w:rsid w:val="00620E64"/>
    <w:rsid w:val="00626887"/>
    <w:rsid w:val="00627DFB"/>
    <w:rsid w:val="006337B8"/>
    <w:rsid w:val="00634F5A"/>
    <w:rsid w:val="006373F2"/>
    <w:rsid w:val="00643C4D"/>
    <w:rsid w:val="006460D3"/>
    <w:rsid w:val="0064653C"/>
    <w:rsid w:val="006479C9"/>
    <w:rsid w:val="00650A33"/>
    <w:rsid w:val="00653476"/>
    <w:rsid w:val="0065406D"/>
    <w:rsid w:val="006564B0"/>
    <w:rsid w:val="00657423"/>
    <w:rsid w:val="00657666"/>
    <w:rsid w:val="00662B0A"/>
    <w:rsid w:val="00662BB7"/>
    <w:rsid w:val="00664F67"/>
    <w:rsid w:val="006662DB"/>
    <w:rsid w:val="006664E1"/>
    <w:rsid w:val="0066653C"/>
    <w:rsid w:val="006673FC"/>
    <w:rsid w:val="006678BE"/>
    <w:rsid w:val="0066797E"/>
    <w:rsid w:val="00677E82"/>
    <w:rsid w:val="006817C3"/>
    <w:rsid w:val="00682ADC"/>
    <w:rsid w:val="00682F43"/>
    <w:rsid w:val="0068377E"/>
    <w:rsid w:val="00686FE6"/>
    <w:rsid w:val="006875D0"/>
    <w:rsid w:val="00690181"/>
    <w:rsid w:val="00692063"/>
    <w:rsid w:val="00692AF5"/>
    <w:rsid w:val="00693106"/>
    <w:rsid w:val="006964DF"/>
    <w:rsid w:val="006A0D37"/>
    <w:rsid w:val="006A0E7C"/>
    <w:rsid w:val="006A6EE5"/>
    <w:rsid w:val="006B392A"/>
    <w:rsid w:val="006B7AC3"/>
    <w:rsid w:val="006C0670"/>
    <w:rsid w:val="006C069B"/>
    <w:rsid w:val="006C0A9B"/>
    <w:rsid w:val="006C12BF"/>
    <w:rsid w:val="006C2A5C"/>
    <w:rsid w:val="006C2B6F"/>
    <w:rsid w:val="006C3786"/>
    <w:rsid w:val="006C518C"/>
    <w:rsid w:val="006C58D7"/>
    <w:rsid w:val="006C634B"/>
    <w:rsid w:val="006C6969"/>
    <w:rsid w:val="006C7F8A"/>
    <w:rsid w:val="006D0727"/>
    <w:rsid w:val="006D3D6B"/>
    <w:rsid w:val="006D52E7"/>
    <w:rsid w:val="006D691F"/>
    <w:rsid w:val="006E0E60"/>
    <w:rsid w:val="006E2AF1"/>
    <w:rsid w:val="006E45F3"/>
    <w:rsid w:val="006E4BE4"/>
    <w:rsid w:val="006E6423"/>
    <w:rsid w:val="006F1F89"/>
    <w:rsid w:val="006F2C69"/>
    <w:rsid w:val="006F3598"/>
    <w:rsid w:val="006F3612"/>
    <w:rsid w:val="006F6F02"/>
    <w:rsid w:val="006F70CD"/>
    <w:rsid w:val="006F711B"/>
    <w:rsid w:val="0070091F"/>
    <w:rsid w:val="0070154B"/>
    <w:rsid w:val="007047DF"/>
    <w:rsid w:val="00705CDA"/>
    <w:rsid w:val="00707819"/>
    <w:rsid w:val="00711F29"/>
    <w:rsid w:val="007121BD"/>
    <w:rsid w:val="007127DF"/>
    <w:rsid w:val="00713DC1"/>
    <w:rsid w:val="00715716"/>
    <w:rsid w:val="00720C81"/>
    <w:rsid w:val="00721F12"/>
    <w:rsid w:val="007231ED"/>
    <w:rsid w:val="00723E18"/>
    <w:rsid w:val="00725C05"/>
    <w:rsid w:val="007341CD"/>
    <w:rsid w:val="00734B7B"/>
    <w:rsid w:val="00736720"/>
    <w:rsid w:val="007412C1"/>
    <w:rsid w:val="007431E0"/>
    <w:rsid w:val="0074324F"/>
    <w:rsid w:val="0074352D"/>
    <w:rsid w:val="00743ABC"/>
    <w:rsid w:val="00745546"/>
    <w:rsid w:val="007506E1"/>
    <w:rsid w:val="0075381A"/>
    <w:rsid w:val="007552AB"/>
    <w:rsid w:val="00755B01"/>
    <w:rsid w:val="007617A6"/>
    <w:rsid w:val="00761BA4"/>
    <w:rsid w:val="007629EE"/>
    <w:rsid w:val="007635E2"/>
    <w:rsid w:val="007665B4"/>
    <w:rsid w:val="00771369"/>
    <w:rsid w:val="00771C7C"/>
    <w:rsid w:val="0077343F"/>
    <w:rsid w:val="0077554C"/>
    <w:rsid w:val="00777B9C"/>
    <w:rsid w:val="00780EB3"/>
    <w:rsid w:val="00781597"/>
    <w:rsid w:val="007825AE"/>
    <w:rsid w:val="00782BE7"/>
    <w:rsid w:val="00782D80"/>
    <w:rsid w:val="0078348A"/>
    <w:rsid w:val="00783691"/>
    <w:rsid w:val="007853D3"/>
    <w:rsid w:val="00785DE7"/>
    <w:rsid w:val="0078608B"/>
    <w:rsid w:val="00786FC1"/>
    <w:rsid w:val="00787829"/>
    <w:rsid w:val="00790B4A"/>
    <w:rsid w:val="0079171A"/>
    <w:rsid w:val="00791F66"/>
    <w:rsid w:val="0079432D"/>
    <w:rsid w:val="00796D09"/>
    <w:rsid w:val="007A17A4"/>
    <w:rsid w:val="007A52AA"/>
    <w:rsid w:val="007A54EB"/>
    <w:rsid w:val="007A59FB"/>
    <w:rsid w:val="007A6413"/>
    <w:rsid w:val="007A6F44"/>
    <w:rsid w:val="007B1D01"/>
    <w:rsid w:val="007B34F4"/>
    <w:rsid w:val="007B3517"/>
    <w:rsid w:val="007B38BF"/>
    <w:rsid w:val="007B57E6"/>
    <w:rsid w:val="007B5EC2"/>
    <w:rsid w:val="007B60AF"/>
    <w:rsid w:val="007C199D"/>
    <w:rsid w:val="007C3373"/>
    <w:rsid w:val="007C5430"/>
    <w:rsid w:val="007C603D"/>
    <w:rsid w:val="007D181D"/>
    <w:rsid w:val="007D2203"/>
    <w:rsid w:val="007D53C8"/>
    <w:rsid w:val="007D7756"/>
    <w:rsid w:val="007E1FAA"/>
    <w:rsid w:val="007E2EBD"/>
    <w:rsid w:val="007E3D16"/>
    <w:rsid w:val="007E5490"/>
    <w:rsid w:val="007F0541"/>
    <w:rsid w:val="007F0AC6"/>
    <w:rsid w:val="007F1549"/>
    <w:rsid w:val="007F4D5D"/>
    <w:rsid w:val="007F5D32"/>
    <w:rsid w:val="007F7843"/>
    <w:rsid w:val="00803F92"/>
    <w:rsid w:val="00807339"/>
    <w:rsid w:val="00811DC2"/>
    <w:rsid w:val="0081383C"/>
    <w:rsid w:val="0081493E"/>
    <w:rsid w:val="00815015"/>
    <w:rsid w:val="008160BE"/>
    <w:rsid w:val="008161A0"/>
    <w:rsid w:val="00816D5E"/>
    <w:rsid w:val="008172DC"/>
    <w:rsid w:val="008200AF"/>
    <w:rsid w:val="00820E98"/>
    <w:rsid w:val="0082186A"/>
    <w:rsid w:val="008226EA"/>
    <w:rsid w:val="008232A9"/>
    <w:rsid w:val="00830821"/>
    <w:rsid w:val="0083124D"/>
    <w:rsid w:val="00831FF8"/>
    <w:rsid w:val="00833567"/>
    <w:rsid w:val="008335B4"/>
    <w:rsid w:val="008351FC"/>
    <w:rsid w:val="00835C4B"/>
    <w:rsid w:val="00836EB6"/>
    <w:rsid w:val="008416FA"/>
    <w:rsid w:val="008427A9"/>
    <w:rsid w:val="00843337"/>
    <w:rsid w:val="0084398C"/>
    <w:rsid w:val="0084569E"/>
    <w:rsid w:val="008470E1"/>
    <w:rsid w:val="008534B3"/>
    <w:rsid w:val="00860B88"/>
    <w:rsid w:val="00861FFF"/>
    <w:rsid w:val="00864C1D"/>
    <w:rsid w:val="0087142A"/>
    <w:rsid w:val="00872139"/>
    <w:rsid w:val="008723BD"/>
    <w:rsid w:val="00877B41"/>
    <w:rsid w:val="00877F9B"/>
    <w:rsid w:val="00880228"/>
    <w:rsid w:val="008819E0"/>
    <w:rsid w:val="0088239E"/>
    <w:rsid w:val="0088275D"/>
    <w:rsid w:val="00885685"/>
    <w:rsid w:val="00886C73"/>
    <w:rsid w:val="008941CD"/>
    <w:rsid w:val="008A02C5"/>
    <w:rsid w:val="008A0356"/>
    <w:rsid w:val="008A0BF5"/>
    <w:rsid w:val="008A3B3A"/>
    <w:rsid w:val="008A5F0A"/>
    <w:rsid w:val="008A67C8"/>
    <w:rsid w:val="008A741F"/>
    <w:rsid w:val="008A75F5"/>
    <w:rsid w:val="008A7C1D"/>
    <w:rsid w:val="008B15C2"/>
    <w:rsid w:val="008B1708"/>
    <w:rsid w:val="008B213C"/>
    <w:rsid w:val="008B292A"/>
    <w:rsid w:val="008B298E"/>
    <w:rsid w:val="008B2ECB"/>
    <w:rsid w:val="008B52D1"/>
    <w:rsid w:val="008B7926"/>
    <w:rsid w:val="008B7F7B"/>
    <w:rsid w:val="008C1969"/>
    <w:rsid w:val="008C4460"/>
    <w:rsid w:val="008C4EFB"/>
    <w:rsid w:val="008C6410"/>
    <w:rsid w:val="008D1675"/>
    <w:rsid w:val="008D1744"/>
    <w:rsid w:val="008D2DE1"/>
    <w:rsid w:val="008D6F65"/>
    <w:rsid w:val="008D6F8A"/>
    <w:rsid w:val="008D7006"/>
    <w:rsid w:val="008D7D95"/>
    <w:rsid w:val="008E0877"/>
    <w:rsid w:val="008E0D92"/>
    <w:rsid w:val="008E0DE5"/>
    <w:rsid w:val="008E47A0"/>
    <w:rsid w:val="008E5C17"/>
    <w:rsid w:val="008E7E3B"/>
    <w:rsid w:val="008F07AB"/>
    <w:rsid w:val="008F5A65"/>
    <w:rsid w:val="009007AA"/>
    <w:rsid w:val="00900AE6"/>
    <w:rsid w:val="00900E05"/>
    <w:rsid w:val="00903864"/>
    <w:rsid w:val="00905724"/>
    <w:rsid w:val="00910063"/>
    <w:rsid w:val="00911BC6"/>
    <w:rsid w:val="00912C52"/>
    <w:rsid w:val="00912DB8"/>
    <w:rsid w:val="0091385E"/>
    <w:rsid w:val="0091399F"/>
    <w:rsid w:val="0091413D"/>
    <w:rsid w:val="00914E1B"/>
    <w:rsid w:val="0091676A"/>
    <w:rsid w:val="009172A3"/>
    <w:rsid w:val="00921754"/>
    <w:rsid w:val="00924BB7"/>
    <w:rsid w:val="0092703D"/>
    <w:rsid w:val="00927654"/>
    <w:rsid w:val="0092787B"/>
    <w:rsid w:val="00930739"/>
    <w:rsid w:val="00931499"/>
    <w:rsid w:val="009318ED"/>
    <w:rsid w:val="0093198A"/>
    <w:rsid w:val="009333C5"/>
    <w:rsid w:val="00933909"/>
    <w:rsid w:val="00935952"/>
    <w:rsid w:val="00935F41"/>
    <w:rsid w:val="009360F1"/>
    <w:rsid w:val="00937DE7"/>
    <w:rsid w:val="00941241"/>
    <w:rsid w:val="00943FB0"/>
    <w:rsid w:val="00944C2F"/>
    <w:rsid w:val="0094508A"/>
    <w:rsid w:val="0094550D"/>
    <w:rsid w:val="00946A68"/>
    <w:rsid w:val="00947CD8"/>
    <w:rsid w:val="00950D0F"/>
    <w:rsid w:val="00950F7C"/>
    <w:rsid w:val="00951918"/>
    <w:rsid w:val="00951E4F"/>
    <w:rsid w:val="00953446"/>
    <w:rsid w:val="00955491"/>
    <w:rsid w:val="00960043"/>
    <w:rsid w:val="0096266F"/>
    <w:rsid w:val="00963581"/>
    <w:rsid w:val="00963889"/>
    <w:rsid w:val="0096393A"/>
    <w:rsid w:val="009647FA"/>
    <w:rsid w:val="00964B60"/>
    <w:rsid w:val="00965C72"/>
    <w:rsid w:val="00965F9D"/>
    <w:rsid w:val="00971316"/>
    <w:rsid w:val="0097169D"/>
    <w:rsid w:val="009721BD"/>
    <w:rsid w:val="0097221D"/>
    <w:rsid w:val="00973704"/>
    <w:rsid w:val="00974710"/>
    <w:rsid w:val="00974933"/>
    <w:rsid w:val="009763BC"/>
    <w:rsid w:val="00980F88"/>
    <w:rsid w:val="009817C5"/>
    <w:rsid w:val="009865CC"/>
    <w:rsid w:val="00991F51"/>
    <w:rsid w:val="00991F93"/>
    <w:rsid w:val="009966DE"/>
    <w:rsid w:val="009A11D6"/>
    <w:rsid w:val="009A2F6C"/>
    <w:rsid w:val="009A3BD2"/>
    <w:rsid w:val="009A3D1D"/>
    <w:rsid w:val="009A4E2E"/>
    <w:rsid w:val="009A502A"/>
    <w:rsid w:val="009A5378"/>
    <w:rsid w:val="009A5A0A"/>
    <w:rsid w:val="009B13D3"/>
    <w:rsid w:val="009B4178"/>
    <w:rsid w:val="009B5B84"/>
    <w:rsid w:val="009C2554"/>
    <w:rsid w:val="009C50B3"/>
    <w:rsid w:val="009C523E"/>
    <w:rsid w:val="009D0A9B"/>
    <w:rsid w:val="009D2C3E"/>
    <w:rsid w:val="009D43D8"/>
    <w:rsid w:val="009D4EEF"/>
    <w:rsid w:val="009E3536"/>
    <w:rsid w:val="009E3E16"/>
    <w:rsid w:val="009E4B9C"/>
    <w:rsid w:val="009E5273"/>
    <w:rsid w:val="009E53D5"/>
    <w:rsid w:val="009E6ADC"/>
    <w:rsid w:val="009E79DE"/>
    <w:rsid w:val="009F217E"/>
    <w:rsid w:val="009F33C3"/>
    <w:rsid w:val="009F3F67"/>
    <w:rsid w:val="009F7E26"/>
    <w:rsid w:val="00A018E4"/>
    <w:rsid w:val="00A03A1A"/>
    <w:rsid w:val="00A05B53"/>
    <w:rsid w:val="00A06A38"/>
    <w:rsid w:val="00A1002E"/>
    <w:rsid w:val="00A117B2"/>
    <w:rsid w:val="00A131B2"/>
    <w:rsid w:val="00A171D0"/>
    <w:rsid w:val="00A20007"/>
    <w:rsid w:val="00A24072"/>
    <w:rsid w:val="00A2669A"/>
    <w:rsid w:val="00A27224"/>
    <w:rsid w:val="00A3126F"/>
    <w:rsid w:val="00A321DC"/>
    <w:rsid w:val="00A3325F"/>
    <w:rsid w:val="00A33523"/>
    <w:rsid w:val="00A33BE6"/>
    <w:rsid w:val="00A34D7E"/>
    <w:rsid w:val="00A3699F"/>
    <w:rsid w:val="00A4166C"/>
    <w:rsid w:val="00A43A01"/>
    <w:rsid w:val="00A445A4"/>
    <w:rsid w:val="00A46205"/>
    <w:rsid w:val="00A51273"/>
    <w:rsid w:val="00A54914"/>
    <w:rsid w:val="00A56021"/>
    <w:rsid w:val="00A57D3E"/>
    <w:rsid w:val="00A57DAB"/>
    <w:rsid w:val="00A62F52"/>
    <w:rsid w:val="00A63E63"/>
    <w:rsid w:val="00A64D0C"/>
    <w:rsid w:val="00A675AA"/>
    <w:rsid w:val="00A72027"/>
    <w:rsid w:val="00A7585C"/>
    <w:rsid w:val="00A75913"/>
    <w:rsid w:val="00A8124A"/>
    <w:rsid w:val="00A83395"/>
    <w:rsid w:val="00A8445E"/>
    <w:rsid w:val="00A84BC9"/>
    <w:rsid w:val="00A85C20"/>
    <w:rsid w:val="00A90332"/>
    <w:rsid w:val="00A90821"/>
    <w:rsid w:val="00A91486"/>
    <w:rsid w:val="00A947C5"/>
    <w:rsid w:val="00A949BC"/>
    <w:rsid w:val="00A94ABF"/>
    <w:rsid w:val="00A9516A"/>
    <w:rsid w:val="00A952BF"/>
    <w:rsid w:val="00A963A6"/>
    <w:rsid w:val="00A9772E"/>
    <w:rsid w:val="00AA5642"/>
    <w:rsid w:val="00AA7C4B"/>
    <w:rsid w:val="00AB330E"/>
    <w:rsid w:val="00AB4E62"/>
    <w:rsid w:val="00AC18B0"/>
    <w:rsid w:val="00AC4AEC"/>
    <w:rsid w:val="00AC7E47"/>
    <w:rsid w:val="00AD3998"/>
    <w:rsid w:val="00AD4CDF"/>
    <w:rsid w:val="00AD598A"/>
    <w:rsid w:val="00AD693F"/>
    <w:rsid w:val="00AE2B11"/>
    <w:rsid w:val="00AE5C01"/>
    <w:rsid w:val="00AE5E3F"/>
    <w:rsid w:val="00AE66C5"/>
    <w:rsid w:val="00AF02BE"/>
    <w:rsid w:val="00B00126"/>
    <w:rsid w:val="00B01C55"/>
    <w:rsid w:val="00B01E3E"/>
    <w:rsid w:val="00B02C8E"/>
    <w:rsid w:val="00B02D2C"/>
    <w:rsid w:val="00B040FE"/>
    <w:rsid w:val="00B1203A"/>
    <w:rsid w:val="00B1360C"/>
    <w:rsid w:val="00B15DE1"/>
    <w:rsid w:val="00B16B5C"/>
    <w:rsid w:val="00B207D1"/>
    <w:rsid w:val="00B2154E"/>
    <w:rsid w:val="00B22636"/>
    <w:rsid w:val="00B2489D"/>
    <w:rsid w:val="00B27ECC"/>
    <w:rsid w:val="00B31334"/>
    <w:rsid w:val="00B3289C"/>
    <w:rsid w:val="00B33886"/>
    <w:rsid w:val="00B3430E"/>
    <w:rsid w:val="00B378F7"/>
    <w:rsid w:val="00B4283C"/>
    <w:rsid w:val="00B45476"/>
    <w:rsid w:val="00B504B0"/>
    <w:rsid w:val="00B52363"/>
    <w:rsid w:val="00B52A52"/>
    <w:rsid w:val="00B541AD"/>
    <w:rsid w:val="00B54410"/>
    <w:rsid w:val="00B559AB"/>
    <w:rsid w:val="00B624A5"/>
    <w:rsid w:val="00B6256F"/>
    <w:rsid w:val="00B66802"/>
    <w:rsid w:val="00B6689B"/>
    <w:rsid w:val="00B672E2"/>
    <w:rsid w:val="00B67EBD"/>
    <w:rsid w:val="00B702A4"/>
    <w:rsid w:val="00B71E57"/>
    <w:rsid w:val="00B71FD9"/>
    <w:rsid w:val="00B720DF"/>
    <w:rsid w:val="00B7562F"/>
    <w:rsid w:val="00B93AE3"/>
    <w:rsid w:val="00B9555B"/>
    <w:rsid w:val="00B96516"/>
    <w:rsid w:val="00B97A48"/>
    <w:rsid w:val="00B97C25"/>
    <w:rsid w:val="00B97DFF"/>
    <w:rsid w:val="00B97FFD"/>
    <w:rsid w:val="00BA01FE"/>
    <w:rsid w:val="00BA297C"/>
    <w:rsid w:val="00BA4581"/>
    <w:rsid w:val="00BA548B"/>
    <w:rsid w:val="00BA7516"/>
    <w:rsid w:val="00BB78A5"/>
    <w:rsid w:val="00BC0C8F"/>
    <w:rsid w:val="00BC0EBE"/>
    <w:rsid w:val="00BC1DC4"/>
    <w:rsid w:val="00BC1EB6"/>
    <w:rsid w:val="00BC490C"/>
    <w:rsid w:val="00BC4CC3"/>
    <w:rsid w:val="00BC4E8D"/>
    <w:rsid w:val="00BC7124"/>
    <w:rsid w:val="00BD0DA2"/>
    <w:rsid w:val="00BD0F8A"/>
    <w:rsid w:val="00BD13E6"/>
    <w:rsid w:val="00BD147D"/>
    <w:rsid w:val="00BD1EEA"/>
    <w:rsid w:val="00BD34D3"/>
    <w:rsid w:val="00BD37FE"/>
    <w:rsid w:val="00BD5CD8"/>
    <w:rsid w:val="00BD6E91"/>
    <w:rsid w:val="00BE3968"/>
    <w:rsid w:val="00BE6BF0"/>
    <w:rsid w:val="00BF0935"/>
    <w:rsid w:val="00BF1622"/>
    <w:rsid w:val="00BF4B39"/>
    <w:rsid w:val="00BF585C"/>
    <w:rsid w:val="00C00524"/>
    <w:rsid w:val="00C02105"/>
    <w:rsid w:val="00C02B2F"/>
    <w:rsid w:val="00C02B79"/>
    <w:rsid w:val="00C0716B"/>
    <w:rsid w:val="00C078A6"/>
    <w:rsid w:val="00C10ADD"/>
    <w:rsid w:val="00C10D9D"/>
    <w:rsid w:val="00C15773"/>
    <w:rsid w:val="00C1758E"/>
    <w:rsid w:val="00C219C6"/>
    <w:rsid w:val="00C21CD7"/>
    <w:rsid w:val="00C22748"/>
    <w:rsid w:val="00C23BFC"/>
    <w:rsid w:val="00C2430C"/>
    <w:rsid w:val="00C26814"/>
    <w:rsid w:val="00C27D4F"/>
    <w:rsid w:val="00C27ED5"/>
    <w:rsid w:val="00C31E4C"/>
    <w:rsid w:val="00C32F25"/>
    <w:rsid w:val="00C3346C"/>
    <w:rsid w:val="00C339F0"/>
    <w:rsid w:val="00C348A9"/>
    <w:rsid w:val="00C35022"/>
    <w:rsid w:val="00C36763"/>
    <w:rsid w:val="00C36D99"/>
    <w:rsid w:val="00C37236"/>
    <w:rsid w:val="00C379B6"/>
    <w:rsid w:val="00C37A46"/>
    <w:rsid w:val="00C4001C"/>
    <w:rsid w:val="00C43DE1"/>
    <w:rsid w:val="00C4460B"/>
    <w:rsid w:val="00C45A20"/>
    <w:rsid w:val="00C4685C"/>
    <w:rsid w:val="00C46A18"/>
    <w:rsid w:val="00C53DB3"/>
    <w:rsid w:val="00C54E8D"/>
    <w:rsid w:val="00C55C43"/>
    <w:rsid w:val="00C573F7"/>
    <w:rsid w:val="00C60B0C"/>
    <w:rsid w:val="00C63E77"/>
    <w:rsid w:val="00C668CE"/>
    <w:rsid w:val="00C66941"/>
    <w:rsid w:val="00C67F45"/>
    <w:rsid w:val="00C70460"/>
    <w:rsid w:val="00C717B6"/>
    <w:rsid w:val="00C725FC"/>
    <w:rsid w:val="00C73EC7"/>
    <w:rsid w:val="00C74182"/>
    <w:rsid w:val="00C755B6"/>
    <w:rsid w:val="00C82B19"/>
    <w:rsid w:val="00C847A8"/>
    <w:rsid w:val="00C84F6F"/>
    <w:rsid w:val="00C870EC"/>
    <w:rsid w:val="00C87277"/>
    <w:rsid w:val="00C90AF3"/>
    <w:rsid w:val="00C91A88"/>
    <w:rsid w:val="00C922F3"/>
    <w:rsid w:val="00C926F5"/>
    <w:rsid w:val="00C97896"/>
    <w:rsid w:val="00C97ADE"/>
    <w:rsid w:val="00CA00AD"/>
    <w:rsid w:val="00CA2407"/>
    <w:rsid w:val="00CA31EC"/>
    <w:rsid w:val="00CA494A"/>
    <w:rsid w:val="00CA75BE"/>
    <w:rsid w:val="00CB5F4D"/>
    <w:rsid w:val="00CB6686"/>
    <w:rsid w:val="00CD0150"/>
    <w:rsid w:val="00CD07CC"/>
    <w:rsid w:val="00CD3600"/>
    <w:rsid w:val="00CD5193"/>
    <w:rsid w:val="00CD55CA"/>
    <w:rsid w:val="00CD66FB"/>
    <w:rsid w:val="00CE04C6"/>
    <w:rsid w:val="00CE0A14"/>
    <w:rsid w:val="00CE293B"/>
    <w:rsid w:val="00CE3AC2"/>
    <w:rsid w:val="00CE6F67"/>
    <w:rsid w:val="00CF0DA8"/>
    <w:rsid w:val="00CF1787"/>
    <w:rsid w:val="00CF223F"/>
    <w:rsid w:val="00CF4335"/>
    <w:rsid w:val="00CF6225"/>
    <w:rsid w:val="00CF7634"/>
    <w:rsid w:val="00D0072F"/>
    <w:rsid w:val="00D068A6"/>
    <w:rsid w:val="00D076EE"/>
    <w:rsid w:val="00D07F3D"/>
    <w:rsid w:val="00D1301B"/>
    <w:rsid w:val="00D138E2"/>
    <w:rsid w:val="00D167FC"/>
    <w:rsid w:val="00D16ED5"/>
    <w:rsid w:val="00D216D4"/>
    <w:rsid w:val="00D21DDA"/>
    <w:rsid w:val="00D2258A"/>
    <w:rsid w:val="00D24B51"/>
    <w:rsid w:val="00D254CB"/>
    <w:rsid w:val="00D2600E"/>
    <w:rsid w:val="00D33842"/>
    <w:rsid w:val="00D352C6"/>
    <w:rsid w:val="00D36E38"/>
    <w:rsid w:val="00D414E5"/>
    <w:rsid w:val="00D417DA"/>
    <w:rsid w:val="00D45191"/>
    <w:rsid w:val="00D4673C"/>
    <w:rsid w:val="00D5163D"/>
    <w:rsid w:val="00D51C47"/>
    <w:rsid w:val="00D51F90"/>
    <w:rsid w:val="00D52AD1"/>
    <w:rsid w:val="00D53F14"/>
    <w:rsid w:val="00D56C6B"/>
    <w:rsid w:val="00D576E0"/>
    <w:rsid w:val="00D57902"/>
    <w:rsid w:val="00D60744"/>
    <w:rsid w:val="00D6424E"/>
    <w:rsid w:val="00D706C5"/>
    <w:rsid w:val="00D706EA"/>
    <w:rsid w:val="00D70A83"/>
    <w:rsid w:val="00D72371"/>
    <w:rsid w:val="00D72C46"/>
    <w:rsid w:val="00D733C5"/>
    <w:rsid w:val="00D74E38"/>
    <w:rsid w:val="00D75C58"/>
    <w:rsid w:val="00D75D7A"/>
    <w:rsid w:val="00D80A4D"/>
    <w:rsid w:val="00D85D4F"/>
    <w:rsid w:val="00D86342"/>
    <w:rsid w:val="00D90481"/>
    <w:rsid w:val="00D92F42"/>
    <w:rsid w:val="00D954E4"/>
    <w:rsid w:val="00D96D72"/>
    <w:rsid w:val="00D97339"/>
    <w:rsid w:val="00DA0C82"/>
    <w:rsid w:val="00DA0EDA"/>
    <w:rsid w:val="00DB05A2"/>
    <w:rsid w:val="00DB060F"/>
    <w:rsid w:val="00DB69E1"/>
    <w:rsid w:val="00DC3972"/>
    <w:rsid w:val="00DC3AFF"/>
    <w:rsid w:val="00DC4913"/>
    <w:rsid w:val="00DC4F1A"/>
    <w:rsid w:val="00DC51F0"/>
    <w:rsid w:val="00DC6CC0"/>
    <w:rsid w:val="00DC711B"/>
    <w:rsid w:val="00DD2BA9"/>
    <w:rsid w:val="00DD4A21"/>
    <w:rsid w:val="00DD5062"/>
    <w:rsid w:val="00DD5B76"/>
    <w:rsid w:val="00DD6D33"/>
    <w:rsid w:val="00DE65D3"/>
    <w:rsid w:val="00DF2385"/>
    <w:rsid w:val="00DF268D"/>
    <w:rsid w:val="00DF2BF3"/>
    <w:rsid w:val="00DF66AF"/>
    <w:rsid w:val="00DF718E"/>
    <w:rsid w:val="00E025B0"/>
    <w:rsid w:val="00E027E1"/>
    <w:rsid w:val="00E02A9D"/>
    <w:rsid w:val="00E0400E"/>
    <w:rsid w:val="00E05FE0"/>
    <w:rsid w:val="00E0758D"/>
    <w:rsid w:val="00E10846"/>
    <w:rsid w:val="00E11325"/>
    <w:rsid w:val="00E117BF"/>
    <w:rsid w:val="00E12DEC"/>
    <w:rsid w:val="00E151E6"/>
    <w:rsid w:val="00E15BCB"/>
    <w:rsid w:val="00E164B3"/>
    <w:rsid w:val="00E20434"/>
    <w:rsid w:val="00E205D0"/>
    <w:rsid w:val="00E232F5"/>
    <w:rsid w:val="00E237BD"/>
    <w:rsid w:val="00E25646"/>
    <w:rsid w:val="00E265A6"/>
    <w:rsid w:val="00E268C5"/>
    <w:rsid w:val="00E302C8"/>
    <w:rsid w:val="00E314BE"/>
    <w:rsid w:val="00E3200D"/>
    <w:rsid w:val="00E362D2"/>
    <w:rsid w:val="00E471CF"/>
    <w:rsid w:val="00E51B6C"/>
    <w:rsid w:val="00E51FEF"/>
    <w:rsid w:val="00E52D37"/>
    <w:rsid w:val="00E53949"/>
    <w:rsid w:val="00E5501F"/>
    <w:rsid w:val="00E55DD2"/>
    <w:rsid w:val="00E56F17"/>
    <w:rsid w:val="00E618F4"/>
    <w:rsid w:val="00E67020"/>
    <w:rsid w:val="00E709D7"/>
    <w:rsid w:val="00E7202A"/>
    <w:rsid w:val="00E724F7"/>
    <w:rsid w:val="00E72B8C"/>
    <w:rsid w:val="00E7589E"/>
    <w:rsid w:val="00E77037"/>
    <w:rsid w:val="00E806E3"/>
    <w:rsid w:val="00E811AD"/>
    <w:rsid w:val="00E839B6"/>
    <w:rsid w:val="00E87B1C"/>
    <w:rsid w:val="00E919F3"/>
    <w:rsid w:val="00E96852"/>
    <w:rsid w:val="00EA184A"/>
    <w:rsid w:val="00EB5000"/>
    <w:rsid w:val="00EC0B62"/>
    <w:rsid w:val="00EC2004"/>
    <w:rsid w:val="00EC40FB"/>
    <w:rsid w:val="00EC5017"/>
    <w:rsid w:val="00EC7A3B"/>
    <w:rsid w:val="00ED0323"/>
    <w:rsid w:val="00ED1620"/>
    <w:rsid w:val="00ED17E6"/>
    <w:rsid w:val="00ED1A37"/>
    <w:rsid w:val="00ED2C70"/>
    <w:rsid w:val="00ED4768"/>
    <w:rsid w:val="00ED4BAF"/>
    <w:rsid w:val="00ED5CFC"/>
    <w:rsid w:val="00ED6006"/>
    <w:rsid w:val="00ED7230"/>
    <w:rsid w:val="00ED7C05"/>
    <w:rsid w:val="00EE17A5"/>
    <w:rsid w:val="00EE1FE2"/>
    <w:rsid w:val="00EE4F5B"/>
    <w:rsid w:val="00EE55C8"/>
    <w:rsid w:val="00EE6258"/>
    <w:rsid w:val="00EE7848"/>
    <w:rsid w:val="00EF01BD"/>
    <w:rsid w:val="00EF12B4"/>
    <w:rsid w:val="00EF2016"/>
    <w:rsid w:val="00EF3860"/>
    <w:rsid w:val="00EF54F8"/>
    <w:rsid w:val="00EF5F16"/>
    <w:rsid w:val="00EF6D1E"/>
    <w:rsid w:val="00F0237B"/>
    <w:rsid w:val="00F11F4E"/>
    <w:rsid w:val="00F13C34"/>
    <w:rsid w:val="00F13E48"/>
    <w:rsid w:val="00F143D7"/>
    <w:rsid w:val="00F1525A"/>
    <w:rsid w:val="00F1647E"/>
    <w:rsid w:val="00F2096F"/>
    <w:rsid w:val="00F21089"/>
    <w:rsid w:val="00F37A16"/>
    <w:rsid w:val="00F40667"/>
    <w:rsid w:val="00F422E2"/>
    <w:rsid w:val="00F443AF"/>
    <w:rsid w:val="00F47AB2"/>
    <w:rsid w:val="00F47F54"/>
    <w:rsid w:val="00F50750"/>
    <w:rsid w:val="00F53193"/>
    <w:rsid w:val="00F53980"/>
    <w:rsid w:val="00F55F57"/>
    <w:rsid w:val="00F56516"/>
    <w:rsid w:val="00F62180"/>
    <w:rsid w:val="00F638B3"/>
    <w:rsid w:val="00F64BAE"/>
    <w:rsid w:val="00F66212"/>
    <w:rsid w:val="00F67D32"/>
    <w:rsid w:val="00F70E66"/>
    <w:rsid w:val="00F71311"/>
    <w:rsid w:val="00F71FC6"/>
    <w:rsid w:val="00F73F01"/>
    <w:rsid w:val="00F73F27"/>
    <w:rsid w:val="00F74DEF"/>
    <w:rsid w:val="00F7672E"/>
    <w:rsid w:val="00F81533"/>
    <w:rsid w:val="00F81AC8"/>
    <w:rsid w:val="00F81FA1"/>
    <w:rsid w:val="00F8240E"/>
    <w:rsid w:val="00F8374E"/>
    <w:rsid w:val="00F86152"/>
    <w:rsid w:val="00F86C52"/>
    <w:rsid w:val="00F9137F"/>
    <w:rsid w:val="00F943FF"/>
    <w:rsid w:val="00F9588E"/>
    <w:rsid w:val="00FA013A"/>
    <w:rsid w:val="00FA17D4"/>
    <w:rsid w:val="00FA3089"/>
    <w:rsid w:val="00FA68AA"/>
    <w:rsid w:val="00FA76ED"/>
    <w:rsid w:val="00FB2072"/>
    <w:rsid w:val="00FC0FF7"/>
    <w:rsid w:val="00FD04F4"/>
    <w:rsid w:val="00FD11BA"/>
    <w:rsid w:val="00FD18F8"/>
    <w:rsid w:val="00FD59A4"/>
    <w:rsid w:val="00FD6E56"/>
    <w:rsid w:val="00FE0C39"/>
    <w:rsid w:val="00FE5F3F"/>
    <w:rsid w:val="00FF39F1"/>
    <w:rsid w:val="00FF7701"/>
    <w:rsid w:val="00FF7F8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0272"/>
  <w15:docId w15:val="{2D63ABF8-6AB1-4A37-B283-D41C8A78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AB"/>
    <w:pPr>
      <w:spacing w:after="0" w:line="240" w:lineRule="auto"/>
    </w:pPr>
    <w:rPr>
      <w:rFonts w:ascii="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BD6E91"/>
    <w:pPr>
      <w:spacing w:before="100" w:beforeAutospacing="1" w:after="100" w:afterAutospacing="1"/>
      <w:jc w:val="both"/>
    </w:pPr>
    <w:rPr>
      <w:rFonts w:eastAsia="Times New Roman"/>
      <w:sz w:val="24"/>
      <w:szCs w:val="24"/>
      <w:lang w:val="es-CL" w:eastAsia="es-CL"/>
    </w:rPr>
  </w:style>
  <w:style w:type="paragraph" w:styleId="Sinespaciado">
    <w:name w:val="No Spacing"/>
    <w:uiPriority w:val="1"/>
    <w:qFormat/>
    <w:rsid w:val="00BD6E91"/>
    <w:pPr>
      <w:spacing w:after="0" w:line="240" w:lineRule="auto"/>
    </w:pPr>
    <w:rPr>
      <w:lang w:val="en-US"/>
    </w:rPr>
  </w:style>
  <w:style w:type="paragraph" w:styleId="Textodeglobo">
    <w:name w:val="Balloon Text"/>
    <w:basedOn w:val="Normal"/>
    <w:link w:val="TextodegloboCar"/>
    <w:uiPriority w:val="99"/>
    <w:semiHidden/>
    <w:unhideWhenUsed/>
    <w:rsid w:val="00BD6E91"/>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E91"/>
    <w:rPr>
      <w:rFonts w:ascii="Tahoma" w:hAnsi="Tahoma" w:cs="Tahoma"/>
      <w:sz w:val="16"/>
      <w:szCs w:val="16"/>
      <w:lang w:val="es-ES"/>
    </w:rPr>
  </w:style>
  <w:style w:type="paragraph" w:styleId="Encabezado">
    <w:name w:val="header"/>
    <w:basedOn w:val="Normal"/>
    <w:link w:val="EncabezadoCar"/>
    <w:uiPriority w:val="99"/>
    <w:unhideWhenUsed/>
    <w:rsid w:val="00D90481"/>
    <w:pPr>
      <w:tabs>
        <w:tab w:val="center" w:pos="4419"/>
        <w:tab w:val="right" w:pos="8838"/>
      </w:tabs>
    </w:pPr>
  </w:style>
  <w:style w:type="character" w:customStyle="1" w:styleId="EncabezadoCar">
    <w:name w:val="Encabezado Car"/>
    <w:basedOn w:val="Fuentedeprrafopredeter"/>
    <w:link w:val="Encabezado"/>
    <w:uiPriority w:val="99"/>
    <w:rsid w:val="00D90481"/>
    <w:rPr>
      <w:rFonts w:ascii="Times New Roman" w:hAnsi="Times New Roman" w:cs="Times New Roman"/>
      <w:sz w:val="20"/>
      <w:szCs w:val="20"/>
      <w:lang w:val="es-ES"/>
    </w:rPr>
  </w:style>
  <w:style w:type="paragraph" w:styleId="Piedepgina">
    <w:name w:val="footer"/>
    <w:basedOn w:val="Normal"/>
    <w:link w:val="PiedepginaCar"/>
    <w:uiPriority w:val="99"/>
    <w:unhideWhenUsed/>
    <w:rsid w:val="00D90481"/>
    <w:pPr>
      <w:tabs>
        <w:tab w:val="center" w:pos="4419"/>
        <w:tab w:val="right" w:pos="8838"/>
      </w:tabs>
    </w:pPr>
  </w:style>
  <w:style w:type="character" w:customStyle="1" w:styleId="PiedepginaCar">
    <w:name w:val="Pie de página Car"/>
    <w:basedOn w:val="Fuentedeprrafopredeter"/>
    <w:link w:val="Piedepgina"/>
    <w:uiPriority w:val="99"/>
    <w:rsid w:val="00D90481"/>
    <w:rPr>
      <w:rFonts w:ascii="Times New Roman" w:hAnsi="Times New Roman" w:cs="Times New Roman"/>
      <w:sz w:val="20"/>
      <w:szCs w:val="20"/>
      <w:lang w:val="es-ES"/>
    </w:rPr>
  </w:style>
  <w:style w:type="paragraph" w:styleId="Prrafodelista">
    <w:name w:val="List Paragraph"/>
    <w:basedOn w:val="Normal"/>
    <w:uiPriority w:val="99"/>
    <w:qFormat/>
    <w:rsid w:val="008C1969"/>
    <w:pPr>
      <w:ind w:left="720"/>
      <w:contextualSpacing/>
    </w:pPr>
  </w:style>
  <w:style w:type="paragraph" w:styleId="Textonotapie">
    <w:name w:val="footnote text"/>
    <w:aliases w:val="fn,Footnote Text Char,ft,single space,footnote text,Geneva 9,Font: Geneva 9,Boston 10,f,Texto nota pie Car Car Car,Nota a pie/Bibliog,Footnote Text.SES,nota,pie,Texto nota pie2,Fußnotentext Char Char,Fußnotentext Char Char Char Char,Texto"/>
    <w:basedOn w:val="Normal"/>
    <w:link w:val="TextonotapieCar"/>
    <w:uiPriority w:val="99"/>
    <w:rsid w:val="00424829"/>
    <w:pPr>
      <w:jc w:val="both"/>
    </w:pPr>
    <w:rPr>
      <w:rFonts w:eastAsia="Calibri"/>
      <w:lang w:val="es-CL"/>
    </w:rPr>
  </w:style>
  <w:style w:type="character" w:customStyle="1" w:styleId="TextonotapieCar">
    <w:name w:val="Texto nota pie Car"/>
    <w:aliases w:val="fn Car,Footnote Text Char Car,ft Car,single space Car,footnote text Car,Geneva 9 Car,Font: Geneva 9 Car,Boston 10 Car,f Car,Texto nota pie Car Car Car Car,Nota a pie/Bibliog Car,Footnote Text.SES Car,nota Car,pie Car,Texto Car"/>
    <w:basedOn w:val="Fuentedeprrafopredeter"/>
    <w:link w:val="Textonotapie"/>
    <w:uiPriority w:val="99"/>
    <w:rsid w:val="00424829"/>
    <w:rPr>
      <w:rFonts w:ascii="Times New Roman" w:eastAsia="Calibri" w:hAnsi="Times New Roman" w:cs="Times New Roman"/>
      <w:sz w:val="20"/>
      <w:szCs w:val="20"/>
    </w:rPr>
  </w:style>
  <w:style w:type="character" w:styleId="Refdenotaalpie">
    <w:name w:val="footnote reference"/>
    <w:aliases w:val="Footnote Reference.SES,Ref. de nota al pie.,Ref,de nota al pie,referencia nota al pie"/>
    <w:basedOn w:val="Fuentedeprrafopredeter"/>
    <w:uiPriority w:val="99"/>
    <w:rsid w:val="00424829"/>
    <w:rPr>
      <w:vertAlign w:val="superscript"/>
    </w:rPr>
  </w:style>
  <w:style w:type="paragraph" w:styleId="Sangradetextonormal">
    <w:name w:val="Body Text Indent"/>
    <w:basedOn w:val="Normal"/>
    <w:link w:val="SangradetextonormalCar"/>
    <w:uiPriority w:val="99"/>
    <w:rsid w:val="00DC51F0"/>
    <w:pPr>
      <w:spacing w:after="120"/>
      <w:ind w:left="360"/>
      <w:jc w:val="both"/>
    </w:pPr>
    <w:rPr>
      <w:rFonts w:eastAsia="Times New Roman"/>
      <w:sz w:val="24"/>
      <w:szCs w:val="24"/>
      <w:lang w:val="en-US"/>
    </w:rPr>
  </w:style>
  <w:style w:type="character" w:customStyle="1" w:styleId="SangradetextonormalCar">
    <w:name w:val="Sangría de texto normal Car"/>
    <w:basedOn w:val="Fuentedeprrafopredeter"/>
    <w:link w:val="Sangradetextonormal"/>
    <w:uiPriority w:val="99"/>
    <w:rsid w:val="00DC51F0"/>
    <w:rPr>
      <w:rFonts w:ascii="Times New Roman" w:eastAsia="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3950C7"/>
    <w:rPr>
      <w:sz w:val="16"/>
      <w:szCs w:val="16"/>
    </w:rPr>
  </w:style>
  <w:style w:type="paragraph" w:styleId="Textocomentario">
    <w:name w:val="annotation text"/>
    <w:basedOn w:val="Normal"/>
    <w:link w:val="TextocomentarioCar"/>
    <w:uiPriority w:val="99"/>
    <w:semiHidden/>
    <w:unhideWhenUsed/>
    <w:rsid w:val="003950C7"/>
  </w:style>
  <w:style w:type="character" w:customStyle="1" w:styleId="TextocomentarioCar">
    <w:name w:val="Texto comentario Car"/>
    <w:basedOn w:val="Fuentedeprrafopredeter"/>
    <w:link w:val="Textocomentario"/>
    <w:uiPriority w:val="99"/>
    <w:semiHidden/>
    <w:rsid w:val="003950C7"/>
    <w:rPr>
      <w:rFonts w:ascii="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950C7"/>
    <w:rPr>
      <w:b/>
      <w:bCs/>
    </w:rPr>
  </w:style>
  <w:style w:type="character" w:customStyle="1" w:styleId="AsuntodelcomentarioCar">
    <w:name w:val="Asunto del comentario Car"/>
    <w:basedOn w:val="TextocomentarioCar"/>
    <w:link w:val="Asuntodelcomentario"/>
    <w:uiPriority w:val="99"/>
    <w:semiHidden/>
    <w:rsid w:val="003950C7"/>
    <w:rPr>
      <w:rFonts w:ascii="Times New Roman" w:hAnsi="Times New Roman" w:cs="Times New Roman"/>
      <w:b/>
      <w:bCs/>
      <w:sz w:val="20"/>
      <w:szCs w:val="20"/>
      <w:lang w:val="es-ES"/>
    </w:rPr>
  </w:style>
  <w:style w:type="paragraph" w:styleId="Textoindependiente">
    <w:name w:val="Body Text"/>
    <w:basedOn w:val="Normal"/>
    <w:link w:val="TextoindependienteCar"/>
    <w:unhideWhenUsed/>
    <w:rsid w:val="0055126A"/>
    <w:pPr>
      <w:spacing w:after="120"/>
    </w:pPr>
  </w:style>
  <w:style w:type="character" w:customStyle="1" w:styleId="TextoindependienteCar">
    <w:name w:val="Texto independiente Car"/>
    <w:basedOn w:val="Fuentedeprrafopredeter"/>
    <w:link w:val="Textoindependiente"/>
    <w:rsid w:val="0055126A"/>
    <w:rPr>
      <w:rFonts w:ascii="Times New Roman" w:hAnsi="Times New Roman" w:cs="Times New Roman"/>
      <w:sz w:val="20"/>
      <w:szCs w:val="20"/>
      <w:lang w:val="es-ES"/>
    </w:rPr>
  </w:style>
  <w:style w:type="paragraph" w:customStyle="1" w:styleId="FLBody">
    <w:name w:val="FL Body"/>
    <w:basedOn w:val="Textoindependiente"/>
    <w:rsid w:val="0055126A"/>
    <w:pPr>
      <w:spacing w:after="0"/>
      <w:jc w:val="both"/>
    </w:pPr>
    <w:rPr>
      <w:rFonts w:ascii="Palatino Linotype" w:eastAsia="Times New Roman" w:hAnsi="Palatino Linotype" w:cs="Arial"/>
      <w:sz w:val="22"/>
      <w:szCs w:val="24"/>
      <w:lang w:val="en-US"/>
    </w:rPr>
  </w:style>
  <w:style w:type="character" w:styleId="Hipervnculo">
    <w:name w:val="Hyperlink"/>
    <w:basedOn w:val="Fuentedeprrafopredeter"/>
    <w:uiPriority w:val="99"/>
    <w:unhideWhenUsed/>
    <w:rsid w:val="0052765F"/>
    <w:rPr>
      <w:color w:val="0000FF" w:themeColor="hyperlink"/>
      <w:u w:val="single"/>
    </w:rPr>
  </w:style>
  <w:style w:type="paragraph" w:styleId="Revisin">
    <w:name w:val="Revision"/>
    <w:hidden/>
    <w:uiPriority w:val="99"/>
    <w:semiHidden/>
    <w:rsid w:val="00320FA6"/>
    <w:pPr>
      <w:spacing w:after="0" w:line="240" w:lineRule="auto"/>
    </w:pPr>
    <w:rPr>
      <w:rFonts w:ascii="Times New Roman" w:hAnsi="Times New Roman" w:cs="Times New Roman"/>
      <w:sz w:val="20"/>
      <w:szCs w:val="20"/>
      <w:lang w:val="es-ES"/>
    </w:rPr>
  </w:style>
  <w:style w:type="paragraph" w:styleId="Mapadeldocumento">
    <w:name w:val="Document Map"/>
    <w:basedOn w:val="Normal"/>
    <w:link w:val="MapadeldocumentoCar"/>
    <w:uiPriority w:val="99"/>
    <w:semiHidden/>
    <w:unhideWhenUsed/>
    <w:rsid w:val="00D80A4D"/>
    <w:rPr>
      <w:rFonts w:ascii="Helvetica" w:hAnsi="Helvetica"/>
      <w:sz w:val="24"/>
      <w:szCs w:val="24"/>
    </w:rPr>
  </w:style>
  <w:style w:type="character" w:customStyle="1" w:styleId="MapadeldocumentoCar">
    <w:name w:val="Mapa del documento Car"/>
    <w:basedOn w:val="Fuentedeprrafopredeter"/>
    <w:link w:val="Mapadeldocumento"/>
    <w:uiPriority w:val="99"/>
    <w:semiHidden/>
    <w:rsid w:val="00D80A4D"/>
    <w:rPr>
      <w:rFonts w:ascii="Helvetica" w:hAnsi="Helvetica"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4124">
      <w:bodyDiv w:val="1"/>
      <w:marLeft w:val="0"/>
      <w:marRight w:val="0"/>
      <w:marTop w:val="0"/>
      <w:marBottom w:val="0"/>
      <w:divBdr>
        <w:top w:val="none" w:sz="0" w:space="0" w:color="auto"/>
        <w:left w:val="none" w:sz="0" w:space="0" w:color="auto"/>
        <w:bottom w:val="none" w:sz="0" w:space="0" w:color="auto"/>
        <w:right w:val="none" w:sz="0" w:space="0" w:color="auto"/>
      </w:divBdr>
      <w:divsChild>
        <w:div w:id="924221185">
          <w:marLeft w:val="0"/>
          <w:marRight w:val="0"/>
          <w:marTop w:val="0"/>
          <w:marBottom w:val="0"/>
          <w:divBdr>
            <w:top w:val="none" w:sz="0" w:space="0" w:color="auto"/>
            <w:left w:val="none" w:sz="0" w:space="0" w:color="auto"/>
            <w:bottom w:val="none" w:sz="0" w:space="0" w:color="auto"/>
            <w:right w:val="none" w:sz="0" w:space="0" w:color="auto"/>
          </w:divBdr>
        </w:div>
        <w:div w:id="2058628266">
          <w:marLeft w:val="0"/>
          <w:marRight w:val="0"/>
          <w:marTop w:val="0"/>
          <w:marBottom w:val="0"/>
          <w:divBdr>
            <w:top w:val="none" w:sz="0" w:space="0" w:color="auto"/>
            <w:left w:val="none" w:sz="0" w:space="0" w:color="auto"/>
            <w:bottom w:val="none" w:sz="0" w:space="0" w:color="auto"/>
            <w:right w:val="none" w:sz="0" w:space="0" w:color="auto"/>
          </w:divBdr>
        </w:div>
      </w:divsChild>
    </w:div>
    <w:div w:id="656348974">
      <w:bodyDiv w:val="1"/>
      <w:marLeft w:val="0"/>
      <w:marRight w:val="0"/>
      <w:marTop w:val="0"/>
      <w:marBottom w:val="0"/>
      <w:divBdr>
        <w:top w:val="none" w:sz="0" w:space="0" w:color="auto"/>
        <w:left w:val="none" w:sz="0" w:space="0" w:color="auto"/>
        <w:bottom w:val="none" w:sz="0" w:space="0" w:color="auto"/>
        <w:right w:val="none" w:sz="0" w:space="0" w:color="auto"/>
      </w:divBdr>
    </w:div>
    <w:div w:id="750007171">
      <w:bodyDiv w:val="1"/>
      <w:marLeft w:val="0"/>
      <w:marRight w:val="0"/>
      <w:marTop w:val="0"/>
      <w:marBottom w:val="0"/>
      <w:divBdr>
        <w:top w:val="none" w:sz="0" w:space="0" w:color="auto"/>
        <w:left w:val="none" w:sz="0" w:space="0" w:color="auto"/>
        <w:bottom w:val="none" w:sz="0" w:space="0" w:color="auto"/>
        <w:right w:val="none" w:sz="0" w:space="0" w:color="auto"/>
      </w:divBdr>
    </w:div>
    <w:div w:id="885678682">
      <w:bodyDiv w:val="1"/>
      <w:marLeft w:val="0"/>
      <w:marRight w:val="0"/>
      <w:marTop w:val="0"/>
      <w:marBottom w:val="0"/>
      <w:divBdr>
        <w:top w:val="none" w:sz="0" w:space="0" w:color="auto"/>
        <w:left w:val="none" w:sz="0" w:space="0" w:color="auto"/>
        <w:bottom w:val="none" w:sz="0" w:space="0" w:color="auto"/>
        <w:right w:val="none" w:sz="0" w:space="0" w:color="auto"/>
      </w:divBdr>
    </w:div>
    <w:div w:id="1463576752">
      <w:bodyDiv w:val="1"/>
      <w:marLeft w:val="0"/>
      <w:marRight w:val="0"/>
      <w:marTop w:val="0"/>
      <w:marBottom w:val="0"/>
      <w:divBdr>
        <w:top w:val="none" w:sz="0" w:space="0" w:color="auto"/>
        <w:left w:val="none" w:sz="0" w:space="0" w:color="auto"/>
        <w:bottom w:val="none" w:sz="0" w:space="0" w:color="auto"/>
        <w:right w:val="none" w:sz="0" w:space="0" w:color="auto"/>
      </w:divBdr>
    </w:div>
    <w:div w:id="15303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on.gob.cl/acuerdos-comerciales/"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english/news_e/pres16_e/pr768_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bif.cl/sbifweb3/internet/archivos/publicacion_10992.pdf" TargetMode="External"/><Relationship Id="rId4" Type="http://schemas.openxmlformats.org/officeDocument/2006/relationships/settings" Target="settings.xml"/><Relationship Id="rId9" Type="http://schemas.openxmlformats.org/officeDocument/2006/relationships/hyperlink" Target="http://www.prochile.gob.cl/wp-content/uploads/"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amilo\Dropbox\Sim&#243;n\Universidad\Ayudant&#237;as%20de%20Investigaci&#243;n\Ricardo%20Ffrench-Davis\Tipo%20de%20Cambio%20Real\Evoluci&#243;n%20Tipo%20de%20Cambio%20Real%200303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milo\Dropbox\Sim&#243;n\Universidad\Ayudant&#237;as%20de%20Investigaci&#243;n\Ricardo%20Ffrench-Davis\Papers\Buenos%20Aires%202\grafico%20crec%2013%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milo\Dropbox\Sim&#243;n\Universidad\Ayudant&#237;as%20de%20Investigaci&#243;n\Ricardo%20Ffrench-Davis\Precio%20del%20Cobre\%5bingles%5dCorrelaci&#243;n%20Precio%20Cu%20y%20Tipo%20de%20Cambio%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31266125690101"/>
          <c:y val="7.0108320185037806E-2"/>
          <c:w val="0.849889799428722"/>
          <c:h val="0.61208580408930402"/>
        </c:manualLayout>
      </c:layout>
      <c:lineChart>
        <c:grouping val="standard"/>
        <c:varyColors val="0"/>
        <c:ser>
          <c:idx val="0"/>
          <c:order val="0"/>
          <c:tx>
            <c:v>TCR</c:v>
          </c:tx>
          <c:spPr>
            <a:ln>
              <a:solidFill>
                <a:schemeClr val="tx1">
                  <a:lumMod val="95000"/>
                  <a:lumOff val="5000"/>
                </a:schemeClr>
              </a:solidFill>
            </a:ln>
          </c:spPr>
          <c:marker>
            <c:symbol val="none"/>
          </c:marker>
          <c:cat>
            <c:strRef>
              <c:f>'TC real'!$A$161:$A$364</c:f>
              <c:strCache>
                <c:ptCount val="204"/>
                <c:pt idx="0">
                  <c:v>1999</c:v>
                </c:pt>
                <c:pt idx="1">
                  <c:v>Feb.99</c:v>
                </c:pt>
                <c:pt idx="2">
                  <c:v>Mar.99</c:v>
                </c:pt>
                <c:pt idx="3">
                  <c:v>Apr.99</c:v>
                </c:pt>
                <c:pt idx="4">
                  <c:v>May.99</c:v>
                </c:pt>
                <c:pt idx="5">
                  <c:v>Jun.99</c:v>
                </c:pt>
                <c:pt idx="6">
                  <c:v>Jul.99</c:v>
                </c:pt>
                <c:pt idx="7">
                  <c:v>Ago.99</c:v>
                </c:pt>
                <c:pt idx="8">
                  <c:v>Sep.99</c:v>
                </c:pt>
                <c:pt idx="9">
                  <c:v>Oct.99</c:v>
                </c:pt>
                <c:pt idx="10">
                  <c:v>Nov.99</c:v>
                </c:pt>
                <c:pt idx="11">
                  <c:v>Dec.99</c:v>
                </c:pt>
                <c:pt idx="12">
                  <c:v>2000</c:v>
                </c:pt>
                <c:pt idx="13">
                  <c:v>Feb.00</c:v>
                </c:pt>
                <c:pt idx="14">
                  <c:v>Mar.00</c:v>
                </c:pt>
                <c:pt idx="15">
                  <c:v>Apr.00</c:v>
                </c:pt>
                <c:pt idx="16">
                  <c:v>May.00</c:v>
                </c:pt>
                <c:pt idx="17">
                  <c:v>Jun.00</c:v>
                </c:pt>
                <c:pt idx="18">
                  <c:v>Jul.00</c:v>
                </c:pt>
                <c:pt idx="19">
                  <c:v>Ago.00</c:v>
                </c:pt>
                <c:pt idx="20">
                  <c:v>Sep.00</c:v>
                </c:pt>
                <c:pt idx="21">
                  <c:v>Oct.00</c:v>
                </c:pt>
                <c:pt idx="22">
                  <c:v>Nov.00</c:v>
                </c:pt>
                <c:pt idx="23">
                  <c:v>Dec.00</c:v>
                </c:pt>
                <c:pt idx="24">
                  <c:v>2001</c:v>
                </c:pt>
                <c:pt idx="25">
                  <c:v>Feb.01</c:v>
                </c:pt>
                <c:pt idx="26">
                  <c:v>Mar.01</c:v>
                </c:pt>
                <c:pt idx="27">
                  <c:v>Apr.01</c:v>
                </c:pt>
                <c:pt idx="28">
                  <c:v>May.01</c:v>
                </c:pt>
                <c:pt idx="29">
                  <c:v>Jun.01</c:v>
                </c:pt>
                <c:pt idx="30">
                  <c:v>Jul.01</c:v>
                </c:pt>
                <c:pt idx="31">
                  <c:v>Ago.01</c:v>
                </c:pt>
                <c:pt idx="32">
                  <c:v>Sep.01</c:v>
                </c:pt>
                <c:pt idx="33">
                  <c:v>Oct.01</c:v>
                </c:pt>
                <c:pt idx="34">
                  <c:v>Nov.01</c:v>
                </c:pt>
                <c:pt idx="35">
                  <c:v>Dec.01</c:v>
                </c:pt>
                <c:pt idx="36">
                  <c:v>2002</c:v>
                </c:pt>
                <c:pt idx="37">
                  <c:v>Feb.02</c:v>
                </c:pt>
                <c:pt idx="38">
                  <c:v>Mar.02</c:v>
                </c:pt>
                <c:pt idx="39">
                  <c:v>Apr.02</c:v>
                </c:pt>
                <c:pt idx="40">
                  <c:v>May.02</c:v>
                </c:pt>
                <c:pt idx="41">
                  <c:v>Jun.02</c:v>
                </c:pt>
                <c:pt idx="42">
                  <c:v>Jul.02</c:v>
                </c:pt>
                <c:pt idx="43">
                  <c:v>Ago.02</c:v>
                </c:pt>
                <c:pt idx="44">
                  <c:v>Sep.02</c:v>
                </c:pt>
                <c:pt idx="45">
                  <c:v>Oct.02</c:v>
                </c:pt>
                <c:pt idx="46">
                  <c:v>Nov.02</c:v>
                </c:pt>
                <c:pt idx="47">
                  <c:v>Dec.02</c:v>
                </c:pt>
                <c:pt idx="48">
                  <c:v>2003</c:v>
                </c:pt>
                <c:pt idx="49">
                  <c:v>Feb.03</c:v>
                </c:pt>
                <c:pt idx="50">
                  <c:v>Mar.03</c:v>
                </c:pt>
                <c:pt idx="51">
                  <c:v>Apr.03</c:v>
                </c:pt>
                <c:pt idx="52">
                  <c:v>May.03</c:v>
                </c:pt>
                <c:pt idx="53">
                  <c:v>Jun.03</c:v>
                </c:pt>
                <c:pt idx="54">
                  <c:v>Jul.03</c:v>
                </c:pt>
                <c:pt idx="55">
                  <c:v>Ago.03</c:v>
                </c:pt>
                <c:pt idx="56">
                  <c:v>Sep.03</c:v>
                </c:pt>
                <c:pt idx="57">
                  <c:v>Oct.03</c:v>
                </c:pt>
                <c:pt idx="58">
                  <c:v>Nov.03</c:v>
                </c:pt>
                <c:pt idx="59">
                  <c:v>Dec.03</c:v>
                </c:pt>
                <c:pt idx="60">
                  <c:v>2004</c:v>
                </c:pt>
                <c:pt idx="61">
                  <c:v>Feb.04</c:v>
                </c:pt>
                <c:pt idx="62">
                  <c:v>Mar.04</c:v>
                </c:pt>
                <c:pt idx="63">
                  <c:v>Apr.04</c:v>
                </c:pt>
                <c:pt idx="64">
                  <c:v>May.04</c:v>
                </c:pt>
                <c:pt idx="65">
                  <c:v>Jun.04</c:v>
                </c:pt>
                <c:pt idx="66">
                  <c:v>Jul.04</c:v>
                </c:pt>
                <c:pt idx="67">
                  <c:v>Ago.04</c:v>
                </c:pt>
                <c:pt idx="68">
                  <c:v>Sep.04</c:v>
                </c:pt>
                <c:pt idx="69">
                  <c:v>Oct.04</c:v>
                </c:pt>
                <c:pt idx="70">
                  <c:v>Nov.04</c:v>
                </c:pt>
                <c:pt idx="71">
                  <c:v>Dec.04</c:v>
                </c:pt>
                <c:pt idx="72">
                  <c:v>2005</c:v>
                </c:pt>
                <c:pt idx="73">
                  <c:v>Feb.05</c:v>
                </c:pt>
                <c:pt idx="74">
                  <c:v>Mar.05</c:v>
                </c:pt>
                <c:pt idx="75">
                  <c:v>Apr.05</c:v>
                </c:pt>
                <c:pt idx="76">
                  <c:v>May.05</c:v>
                </c:pt>
                <c:pt idx="77">
                  <c:v>Jun.05</c:v>
                </c:pt>
                <c:pt idx="78">
                  <c:v>Jul.05</c:v>
                </c:pt>
                <c:pt idx="79">
                  <c:v>Ago.05</c:v>
                </c:pt>
                <c:pt idx="80">
                  <c:v>Sep.05</c:v>
                </c:pt>
                <c:pt idx="81">
                  <c:v>Oct.05</c:v>
                </c:pt>
                <c:pt idx="82">
                  <c:v>Nov.05</c:v>
                </c:pt>
                <c:pt idx="83">
                  <c:v>Dec.05</c:v>
                </c:pt>
                <c:pt idx="84">
                  <c:v>2006</c:v>
                </c:pt>
                <c:pt idx="85">
                  <c:v>Feb.06</c:v>
                </c:pt>
                <c:pt idx="86">
                  <c:v>Mar.06</c:v>
                </c:pt>
                <c:pt idx="87">
                  <c:v>Apr.06</c:v>
                </c:pt>
                <c:pt idx="88">
                  <c:v>May.06</c:v>
                </c:pt>
                <c:pt idx="89">
                  <c:v>Jun.06</c:v>
                </c:pt>
                <c:pt idx="90">
                  <c:v>Jul.06</c:v>
                </c:pt>
                <c:pt idx="91">
                  <c:v>Ago.06</c:v>
                </c:pt>
                <c:pt idx="92">
                  <c:v>Sep.06</c:v>
                </c:pt>
                <c:pt idx="93">
                  <c:v>Oct.06</c:v>
                </c:pt>
                <c:pt idx="94">
                  <c:v>Nov.06</c:v>
                </c:pt>
                <c:pt idx="95">
                  <c:v>Dec.06</c:v>
                </c:pt>
                <c:pt idx="96">
                  <c:v>2007</c:v>
                </c:pt>
                <c:pt idx="97">
                  <c:v>Feb.07</c:v>
                </c:pt>
                <c:pt idx="98">
                  <c:v>Mar.07</c:v>
                </c:pt>
                <c:pt idx="99">
                  <c:v>Apr.07</c:v>
                </c:pt>
                <c:pt idx="100">
                  <c:v>May.07</c:v>
                </c:pt>
                <c:pt idx="101">
                  <c:v>Jun.07</c:v>
                </c:pt>
                <c:pt idx="102">
                  <c:v>Jul.07</c:v>
                </c:pt>
                <c:pt idx="103">
                  <c:v>Ago.07</c:v>
                </c:pt>
                <c:pt idx="104">
                  <c:v>Sep.07</c:v>
                </c:pt>
                <c:pt idx="105">
                  <c:v>Oct.07</c:v>
                </c:pt>
                <c:pt idx="106">
                  <c:v>Nov.07</c:v>
                </c:pt>
                <c:pt idx="107">
                  <c:v>Dec.07</c:v>
                </c:pt>
                <c:pt idx="108">
                  <c:v>2008</c:v>
                </c:pt>
                <c:pt idx="109">
                  <c:v>Feb.08</c:v>
                </c:pt>
                <c:pt idx="110">
                  <c:v>Mar.08</c:v>
                </c:pt>
                <c:pt idx="111">
                  <c:v>Apr.08</c:v>
                </c:pt>
                <c:pt idx="112">
                  <c:v>May.08</c:v>
                </c:pt>
                <c:pt idx="113">
                  <c:v>Jun.08</c:v>
                </c:pt>
                <c:pt idx="114">
                  <c:v>Jul.08</c:v>
                </c:pt>
                <c:pt idx="115">
                  <c:v>Ago.08</c:v>
                </c:pt>
                <c:pt idx="116">
                  <c:v>Sep.08</c:v>
                </c:pt>
                <c:pt idx="117">
                  <c:v>Oct.08</c:v>
                </c:pt>
                <c:pt idx="118">
                  <c:v>Nov.08</c:v>
                </c:pt>
                <c:pt idx="119">
                  <c:v>Dec.08</c:v>
                </c:pt>
                <c:pt idx="120">
                  <c:v>2009</c:v>
                </c:pt>
                <c:pt idx="121">
                  <c:v>Feb.09</c:v>
                </c:pt>
                <c:pt idx="122">
                  <c:v>Mar.09</c:v>
                </c:pt>
                <c:pt idx="123">
                  <c:v>Apr.09</c:v>
                </c:pt>
                <c:pt idx="124">
                  <c:v>May.09</c:v>
                </c:pt>
                <c:pt idx="125">
                  <c:v>Jun.09</c:v>
                </c:pt>
                <c:pt idx="126">
                  <c:v>Jul.09</c:v>
                </c:pt>
                <c:pt idx="127">
                  <c:v>Ago.09</c:v>
                </c:pt>
                <c:pt idx="128">
                  <c:v>Sep.09</c:v>
                </c:pt>
                <c:pt idx="129">
                  <c:v>Oct.09</c:v>
                </c:pt>
                <c:pt idx="130">
                  <c:v>Nov.09</c:v>
                </c:pt>
                <c:pt idx="131">
                  <c:v>Dec.09</c:v>
                </c:pt>
                <c:pt idx="132">
                  <c:v>2010</c:v>
                </c:pt>
                <c:pt idx="133">
                  <c:v>Feb.10</c:v>
                </c:pt>
                <c:pt idx="134">
                  <c:v>Mar.10</c:v>
                </c:pt>
                <c:pt idx="135">
                  <c:v>Apr.10</c:v>
                </c:pt>
                <c:pt idx="136">
                  <c:v>May.10</c:v>
                </c:pt>
                <c:pt idx="137">
                  <c:v>Jun.10</c:v>
                </c:pt>
                <c:pt idx="138">
                  <c:v>Jul.10</c:v>
                </c:pt>
                <c:pt idx="139">
                  <c:v>Ago.10</c:v>
                </c:pt>
                <c:pt idx="140">
                  <c:v>Sep.10</c:v>
                </c:pt>
                <c:pt idx="141">
                  <c:v>Oct.10</c:v>
                </c:pt>
                <c:pt idx="142">
                  <c:v>Nov.10</c:v>
                </c:pt>
                <c:pt idx="143">
                  <c:v>Dec.10</c:v>
                </c:pt>
                <c:pt idx="144">
                  <c:v>2011</c:v>
                </c:pt>
                <c:pt idx="145">
                  <c:v>Feb.11</c:v>
                </c:pt>
                <c:pt idx="146">
                  <c:v>Mar.11</c:v>
                </c:pt>
                <c:pt idx="147">
                  <c:v>Apr.11</c:v>
                </c:pt>
                <c:pt idx="148">
                  <c:v>May.11</c:v>
                </c:pt>
                <c:pt idx="149">
                  <c:v>Jun.11</c:v>
                </c:pt>
                <c:pt idx="150">
                  <c:v>Jul.11</c:v>
                </c:pt>
                <c:pt idx="151">
                  <c:v>Ago.11</c:v>
                </c:pt>
                <c:pt idx="152">
                  <c:v>Sep.11</c:v>
                </c:pt>
                <c:pt idx="153">
                  <c:v>Oct.11</c:v>
                </c:pt>
                <c:pt idx="154">
                  <c:v>Nov.11</c:v>
                </c:pt>
                <c:pt idx="155">
                  <c:v>Dec.11</c:v>
                </c:pt>
                <c:pt idx="156">
                  <c:v>2012</c:v>
                </c:pt>
                <c:pt idx="157">
                  <c:v>Feb.12</c:v>
                </c:pt>
                <c:pt idx="158">
                  <c:v>Mar.12</c:v>
                </c:pt>
                <c:pt idx="159">
                  <c:v>Apr.12</c:v>
                </c:pt>
                <c:pt idx="160">
                  <c:v>May.12</c:v>
                </c:pt>
                <c:pt idx="161">
                  <c:v>Jun.12</c:v>
                </c:pt>
                <c:pt idx="162">
                  <c:v>Jul.12</c:v>
                </c:pt>
                <c:pt idx="163">
                  <c:v>Ago.12</c:v>
                </c:pt>
                <c:pt idx="164">
                  <c:v>Sep.12</c:v>
                </c:pt>
                <c:pt idx="165">
                  <c:v>Oct.12</c:v>
                </c:pt>
                <c:pt idx="166">
                  <c:v>Nov.12</c:v>
                </c:pt>
                <c:pt idx="167">
                  <c:v>Dec.12</c:v>
                </c:pt>
                <c:pt idx="168">
                  <c:v>2013</c:v>
                </c:pt>
                <c:pt idx="169">
                  <c:v>Feb.13</c:v>
                </c:pt>
                <c:pt idx="170">
                  <c:v>Mar.13</c:v>
                </c:pt>
                <c:pt idx="171">
                  <c:v>Apr.13</c:v>
                </c:pt>
                <c:pt idx="172">
                  <c:v>May.13</c:v>
                </c:pt>
                <c:pt idx="173">
                  <c:v>Jun.13</c:v>
                </c:pt>
                <c:pt idx="174">
                  <c:v>Jul.13</c:v>
                </c:pt>
                <c:pt idx="175">
                  <c:v>Ago.13</c:v>
                </c:pt>
                <c:pt idx="176">
                  <c:v>Sep.13</c:v>
                </c:pt>
                <c:pt idx="177">
                  <c:v>Oct.13</c:v>
                </c:pt>
                <c:pt idx="178">
                  <c:v>Nov.13</c:v>
                </c:pt>
                <c:pt idx="179">
                  <c:v>Dec.13</c:v>
                </c:pt>
                <c:pt idx="180">
                  <c:v>2014</c:v>
                </c:pt>
                <c:pt idx="181">
                  <c:v>Feb.14</c:v>
                </c:pt>
                <c:pt idx="182">
                  <c:v>Mar.14</c:v>
                </c:pt>
                <c:pt idx="183">
                  <c:v>Apr.14</c:v>
                </c:pt>
                <c:pt idx="184">
                  <c:v>May.14</c:v>
                </c:pt>
                <c:pt idx="185">
                  <c:v>Jun.14</c:v>
                </c:pt>
                <c:pt idx="186">
                  <c:v>Jul.14</c:v>
                </c:pt>
                <c:pt idx="187">
                  <c:v>Ago.14</c:v>
                </c:pt>
                <c:pt idx="188">
                  <c:v>Sep.14</c:v>
                </c:pt>
                <c:pt idx="189">
                  <c:v>Oct.14</c:v>
                </c:pt>
                <c:pt idx="190">
                  <c:v>Nov.14</c:v>
                </c:pt>
                <c:pt idx="191">
                  <c:v>Dic.14</c:v>
                </c:pt>
                <c:pt idx="192">
                  <c:v>2015</c:v>
                </c:pt>
                <c:pt idx="193">
                  <c:v>Feb.15</c:v>
                </c:pt>
                <c:pt idx="194">
                  <c:v>Mar.15</c:v>
                </c:pt>
                <c:pt idx="195">
                  <c:v>Apr.15</c:v>
                </c:pt>
                <c:pt idx="196">
                  <c:v>May.15</c:v>
                </c:pt>
                <c:pt idx="197">
                  <c:v>Jun.15</c:v>
                </c:pt>
                <c:pt idx="198">
                  <c:v>Jul.15</c:v>
                </c:pt>
                <c:pt idx="199">
                  <c:v>Ago.15</c:v>
                </c:pt>
                <c:pt idx="200">
                  <c:v>Sep.15</c:v>
                </c:pt>
                <c:pt idx="201">
                  <c:v>Oct. 15</c:v>
                </c:pt>
                <c:pt idx="202">
                  <c:v>Nov. 15</c:v>
                </c:pt>
                <c:pt idx="203">
                  <c:v>Dic. 15</c:v>
                </c:pt>
              </c:strCache>
            </c:strRef>
          </c:cat>
          <c:val>
            <c:numRef>
              <c:f>'TC real'!$B$161:$B$364</c:f>
              <c:numCache>
                <c:formatCode>0.0</c:formatCode>
                <c:ptCount val="204"/>
                <c:pt idx="0">
                  <c:v>78.85225749</c:v>
                </c:pt>
                <c:pt idx="1">
                  <c:v>79.672856109999657</c:v>
                </c:pt>
                <c:pt idx="2">
                  <c:v>78.484439550000005</c:v>
                </c:pt>
                <c:pt idx="3">
                  <c:v>77.784915889999994</c:v>
                </c:pt>
                <c:pt idx="4">
                  <c:v>78.27711755</c:v>
                </c:pt>
                <c:pt idx="5">
                  <c:v>80.217111689999996</c:v>
                </c:pt>
                <c:pt idx="6">
                  <c:v>82.582852989999978</c:v>
                </c:pt>
                <c:pt idx="7">
                  <c:v>83.010672889999981</c:v>
                </c:pt>
                <c:pt idx="8">
                  <c:v>85.335522249999983</c:v>
                </c:pt>
                <c:pt idx="9">
                  <c:v>87.456310829999978</c:v>
                </c:pt>
                <c:pt idx="10">
                  <c:v>88.265115609999995</c:v>
                </c:pt>
                <c:pt idx="11">
                  <c:v>87.537881380000002</c:v>
                </c:pt>
                <c:pt idx="12">
                  <c:v>84.714078420000007</c:v>
                </c:pt>
                <c:pt idx="13">
                  <c:v>82.933020749999997</c:v>
                </c:pt>
                <c:pt idx="14">
                  <c:v>81.489789590000001</c:v>
                </c:pt>
                <c:pt idx="15">
                  <c:v>81.437801250000007</c:v>
                </c:pt>
                <c:pt idx="16">
                  <c:v>82.250701719999782</c:v>
                </c:pt>
                <c:pt idx="17">
                  <c:v>85.202737809999704</c:v>
                </c:pt>
                <c:pt idx="18">
                  <c:v>87.390028709999982</c:v>
                </c:pt>
                <c:pt idx="19">
                  <c:v>87.958690250000004</c:v>
                </c:pt>
                <c:pt idx="20">
                  <c:v>89.784899620000004</c:v>
                </c:pt>
                <c:pt idx="21">
                  <c:v>89.233375229999979</c:v>
                </c:pt>
                <c:pt idx="22">
                  <c:v>89.635455379999811</c:v>
                </c:pt>
                <c:pt idx="23">
                  <c:v>90.19551869999998</c:v>
                </c:pt>
                <c:pt idx="24">
                  <c:v>90.285625449999998</c:v>
                </c:pt>
                <c:pt idx="25">
                  <c:v>88.324511139999828</c:v>
                </c:pt>
                <c:pt idx="26">
                  <c:v>90.81275128999998</c:v>
                </c:pt>
                <c:pt idx="27">
                  <c:v>91.499097820000003</c:v>
                </c:pt>
                <c:pt idx="28">
                  <c:v>91.76957351999998</c:v>
                </c:pt>
                <c:pt idx="29">
                  <c:v>92.67615129999983</c:v>
                </c:pt>
                <c:pt idx="30">
                  <c:v>98.244264529999995</c:v>
                </c:pt>
                <c:pt idx="31">
                  <c:v>101.17238519999999</c:v>
                </c:pt>
                <c:pt idx="32">
                  <c:v>101.1559855</c:v>
                </c:pt>
                <c:pt idx="33">
                  <c:v>103.710706</c:v>
                </c:pt>
                <c:pt idx="34">
                  <c:v>101.0537635</c:v>
                </c:pt>
                <c:pt idx="35">
                  <c:v>98.308515650000004</c:v>
                </c:pt>
                <c:pt idx="36">
                  <c:v>95.367952380000006</c:v>
                </c:pt>
                <c:pt idx="37">
                  <c:v>94.620152019999722</c:v>
                </c:pt>
                <c:pt idx="38">
                  <c:v>92.331552819999828</c:v>
                </c:pt>
                <c:pt idx="39">
                  <c:v>91.326414819999812</c:v>
                </c:pt>
                <c:pt idx="40">
                  <c:v>91.776440749999978</c:v>
                </c:pt>
                <c:pt idx="41">
                  <c:v>94.979965429999993</c:v>
                </c:pt>
                <c:pt idx="42">
                  <c:v>99.051776019999721</c:v>
                </c:pt>
                <c:pt idx="43">
                  <c:v>99.205132089999978</c:v>
                </c:pt>
                <c:pt idx="44">
                  <c:v>101.52116820000001</c:v>
                </c:pt>
                <c:pt idx="45">
                  <c:v>102.10515669999999</c:v>
                </c:pt>
                <c:pt idx="46">
                  <c:v>99.86883099999983</c:v>
                </c:pt>
                <c:pt idx="47">
                  <c:v>100.11922610000001</c:v>
                </c:pt>
                <c:pt idx="48">
                  <c:v>105.4011137</c:v>
                </c:pt>
                <c:pt idx="49">
                  <c:v>108.6798792</c:v>
                </c:pt>
                <c:pt idx="50">
                  <c:v>108.7683806</c:v>
                </c:pt>
                <c:pt idx="51">
                  <c:v>106.0802051</c:v>
                </c:pt>
                <c:pt idx="52">
                  <c:v>106.4930387</c:v>
                </c:pt>
                <c:pt idx="53">
                  <c:v>108.37993779999999</c:v>
                </c:pt>
                <c:pt idx="54">
                  <c:v>106.8477807</c:v>
                </c:pt>
                <c:pt idx="55">
                  <c:v>105.9972176</c:v>
                </c:pt>
                <c:pt idx="56">
                  <c:v>102.2984441</c:v>
                </c:pt>
                <c:pt idx="57">
                  <c:v>100.03695759999999</c:v>
                </c:pt>
                <c:pt idx="58">
                  <c:v>97.248971169999948</c:v>
                </c:pt>
                <c:pt idx="59">
                  <c:v>95.413139770000001</c:v>
                </c:pt>
                <c:pt idx="60">
                  <c:v>92.192450399999828</c:v>
                </c:pt>
                <c:pt idx="61">
                  <c:v>94.397837609999982</c:v>
                </c:pt>
                <c:pt idx="62">
                  <c:v>97.042484959999982</c:v>
                </c:pt>
                <c:pt idx="63">
                  <c:v>98.276417119999707</c:v>
                </c:pt>
                <c:pt idx="64">
                  <c:v>101.31549219999999</c:v>
                </c:pt>
                <c:pt idx="65">
                  <c:v>103.2493094</c:v>
                </c:pt>
                <c:pt idx="66">
                  <c:v>102.388689</c:v>
                </c:pt>
                <c:pt idx="67">
                  <c:v>103.0769289</c:v>
                </c:pt>
                <c:pt idx="68">
                  <c:v>100.23055530000001</c:v>
                </c:pt>
                <c:pt idx="69">
                  <c:v>100.088928</c:v>
                </c:pt>
                <c:pt idx="70">
                  <c:v>100.0241364</c:v>
                </c:pt>
                <c:pt idx="71">
                  <c:v>98.00164024</c:v>
                </c:pt>
                <c:pt idx="72">
                  <c:v>97.656379229999828</c:v>
                </c:pt>
                <c:pt idx="73">
                  <c:v>98.276470789999948</c:v>
                </c:pt>
                <c:pt idx="74">
                  <c:v>100.45336039999999</c:v>
                </c:pt>
                <c:pt idx="75">
                  <c:v>99.32872949999998</c:v>
                </c:pt>
                <c:pt idx="76">
                  <c:v>98.602449780000001</c:v>
                </c:pt>
                <c:pt idx="77">
                  <c:v>99.068415779999981</c:v>
                </c:pt>
                <c:pt idx="78">
                  <c:v>97.304187540000001</c:v>
                </c:pt>
                <c:pt idx="79">
                  <c:v>93.08989357999998</c:v>
                </c:pt>
                <c:pt idx="80">
                  <c:v>91.107549809999981</c:v>
                </c:pt>
                <c:pt idx="81">
                  <c:v>90.52664197</c:v>
                </c:pt>
                <c:pt idx="82">
                  <c:v>89.097119309999997</c:v>
                </c:pt>
                <c:pt idx="83">
                  <c:v>86.60748134999983</c:v>
                </c:pt>
                <c:pt idx="84">
                  <c:v>89.358482139999623</c:v>
                </c:pt>
                <c:pt idx="85">
                  <c:v>89.775782329999657</c:v>
                </c:pt>
                <c:pt idx="86">
                  <c:v>89.589935339999812</c:v>
                </c:pt>
                <c:pt idx="87">
                  <c:v>88.677572579999705</c:v>
                </c:pt>
                <c:pt idx="88">
                  <c:v>90.651460060000005</c:v>
                </c:pt>
                <c:pt idx="89">
                  <c:v>93.659034749999947</c:v>
                </c:pt>
                <c:pt idx="90">
                  <c:v>93.888563289999993</c:v>
                </c:pt>
                <c:pt idx="91">
                  <c:v>94.107763410000004</c:v>
                </c:pt>
                <c:pt idx="92">
                  <c:v>93.109294390000002</c:v>
                </c:pt>
                <c:pt idx="93">
                  <c:v>91.587682509999979</c:v>
                </c:pt>
                <c:pt idx="94">
                  <c:v>92.372540089999831</c:v>
                </c:pt>
                <c:pt idx="95">
                  <c:v>93.375098159999581</c:v>
                </c:pt>
                <c:pt idx="96">
                  <c:v>94.211968999999996</c:v>
                </c:pt>
                <c:pt idx="97">
                  <c:v>95.540866679999993</c:v>
                </c:pt>
                <c:pt idx="98">
                  <c:v>95.234987189999998</c:v>
                </c:pt>
                <c:pt idx="99">
                  <c:v>95.517685760000006</c:v>
                </c:pt>
                <c:pt idx="100">
                  <c:v>94.040324350000006</c:v>
                </c:pt>
                <c:pt idx="101">
                  <c:v>95.071138799999829</c:v>
                </c:pt>
                <c:pt idx="102">
                  <c:v>94.414861000000002</c:v>
                </c:pt>
                <c:pt idx="103">
                  <c:v>93.420132460000005</c:v>
                </c:pt>
                <c:pt idx="104">
                  <c:v>92.184905970000003</c:v>
                </c:pt>
                <c:pt idx="105">
                  <c:v>91.06942205</c:v>
                </c:pt>
                <c:pt idx="106">
                  <c:v>93.616238980000006</c:v>
                </c:pt>
                <c:pt idx="107">
                  <c:v>91.848722799999948</c:v>
                </c:pt>
                <c:pt idx="108">
                  <c:v>89.568749329999889</c:v>
                </c:pt>
                <c:pt idx="109">
                  <c:v>87.971940750000002</c:v>
                </c:pt>
                <c:pt idx="110">
                  <c:v>84.889663170000006</c:v>
                </c:pt>
                <c:pt idx="111">
                  <c:v>87.140027989999993</c:v>
                </c:pt>
                <c:pt idx="112">
                  <c:v>91.474693790000003</c:v>
                </c:pt>
                <c:pt idx="113">
                  <c:v>96.879145480000005</c:v>
                </c:pt>
                <c:pt idx="114">
                  <c:v>99.747089239999994</c:v>
                </c:pt>
                <c:pt idx="115">
                  <c:v>99.298129009999997</c:v>
                </c:pt>
                <c:pt idx="116">
                  <c:v>97.253026399999982</c:v>
                </c:pt>
                <c:pt idx="117">
                  <c:v>105.6093193</c:v>
                </c:pt>
                <c:pt idx="118">
                  <c:v>107.3828602</c:v>
                </c:pt>
                <c:pt idx="119">
                  <c:v>107.4900062</c:v>
                </c:pt>
                <c:pt idx="120">
                  <c:v>103.01647178896999</c:v>
                </c:pt>
                <c:pt idx="121">
                  <c:v>98.355134212798674</c:v>
                </c:pt>
                <c:pt idx="122">
                  <c:v>94.702173566428812</c:v>
                </c:pt>
                <c:pt idx="123">
                  <c:v>95.822684041949998</c:v>
                </c:pt>
                <c:pt idx="124">
                  <c:v>95.294124239282993</c:v>
                </c:pt>
                <c:pt idx="125">
                  <c:v>95.098979319782828</c:v>
                </c:pt>
                <c:pt idx="126">
                  <c:v>93.763635798492004</c:v>
                </c:pt>
                <c:pt idx="127">
                  <c:v>96.769030853073829</c:v>
                </c:pt>
                <c:pt idx="128">
                  <c:v>96.327494835735948</c:v>
                </c:pt>
                <c:pt idx="129">
                  <c:v>97.276386609363982</c:v>
                </c:pt>
                <c:pt idx="130">
                  <c:v>91.663664851765006</c:v>
                </c:pt>
                <c:pt idx="131">
                  <c:v>90.74936305628998</c:v>
                </c:pt>
                <c:pt idx="132">
                  <c:v>89.745361030223947</c:v>
                </c:pt>
                <c:pt idx="133">
                  <c:v>94.258781821157797</c:v>
                </c:pt>
                <c:pt idx="134">
                  <c:v>93.324430459843001</c:v>
                </c:pt>
                <c:pt idx="135">
                  <c:v>93.001801605546007</c:v>
                </c:pt>
                <c:pt idx="136">
                  <c:v>93.612410248494797</c:v>
                </c:pt>
                <c:pt idx="137">
                  <c:v>93.586937528367983</c:v>
                </c:pt>
                <c:pt idx="138">
                  <c:v>93.715632258786812</c:v>
                </c:pt>
                <c:pt idx="139">
                  <c:v>90.911271753549002</c:v>
                </c:pt>
                <c:pt idx="140">
                  <c:v>88.72306130026098</c:v>
                </c:pt>
                <c:pt idx="141">
                  <c:v>89.07308349986198</c:v>
                </c:pt>
                <c:pt idx="142">
                  <c:v>88.912313848883002</c:v>
                </c:pt>
                <c:pt idx="143">
                  <c:v>87.40232776857998</c:v>
                </c:pt>
                <c:pt idx="144">
                  <c:v>91.469228079611398</c:v>
                </c:pt>
                <c:pt idx="145">
                  <c:v>90.014770112088897</c:v>
                </c:pt>
                <c:pt idx="146">
                  <c:v>91.337661226781748</c:v>
                </c:pt>
                <c:pt idx="147">
                  <c:v>91.288551164066249</c:v>
                </c:pt>
                <c:pt idx="148">
                  <c:v>90.522094595640382</c:v>
                </c:pt>
                <c:pt idx="149">
                  <c:v>91.016598145988098</c:v>
                </c:pt>
                <c:pt idx="150">
                  <c:v>90.318144265773796</c:v>
                </c:pt>
                <c:pt idx="151">
                  <c:v>90.942613113618293</c:v>
                </c:pt>
                <c:pt idx="152">
                  <c:v>92.148752895336628</c:v>
                </c:pt>
                <c:pt idx="153">
                  <c:v>95.944758632998699</c:v>
                </c:pt>
                <c:pt idx="154">
                  <c:v>94.997537679380102</c:v>
                </c:pt>
                <c:pt idx="155">
                  <c:v>95.031088987229481</c:v>
                </c:pt>
                <c:pt idx="156">
                  <c:v>92.854479865187002</c:v>
                </c:pt>
                <c:pt idx="157">
                  <c:v>90.140332184516282</c:v>
                </c:pt>
                <c:pt idx="158">
                  <c:v>90.734717703087398</c:v>
                </c:pt>
                <c:pt idx="159">
                  <c:v>90.600567463037805</c:v>
                </c:pt>
                <c:pt idx="160">
                  <c:v>91.30379261995509</c:v>
                </c:pt>
                <c:pt idx="161">
                  <c:v>91.814854073305895</c:v>
                </c:pt>
                <c:pt idx="162">
                  <c:v>89.651077851036504</c:v>
                </c:pt>
                <c:pt idx="163">
                  <c:v>88.431925100392306</c:v>
                </c:pt>
                <c:pt idx="164">
                  <c:v>87.82801067766718</c:v>
                </c:pt>
                <c:pt idx="165">
                  <c:v>87.484978009437</c:v>
                </c:pt>
                <c:pt idx="166">
                  <c:v>88.327086248361979</c:v>
                </c:pt>
                <c:pt idx="167">
                  <c:v>88.157255163940604</c:v>
                </c:pt>
                <c:pt idx="168">
                  <c:v>87.584638867657148</c:v>
                </c:pt>
                <c:pt idx="169">
                  <c:v>87.706484989905803</c:v>
                </c:pt>
                <c:pt idx="170">
                  <c:v>86.597076186064129</c:v>
                </c:pt>
                <c:pt idx="171">
                  <c:v>86.773868771308301</c:v>
                </c:pt>
                <c:pt idx="172">
                  <c:v>87.789796366371178</c:v>
                </c:pt>
                <c:pt idx="173">
                  <c:v>91.310645391248997</c:v>
                </c:pt>
                <c:pt idx="174">
                  <c:v>90.936301275024249</c:v>
                </c:pt>
                <c:pt idx="175">
                  <c:v>92.431395631240207</c:v>
                </c:pt>
                <c:pt idx="176">
                  <c:v>90.912017946111604</c:v>
                </c:pt>
                <c:pt idx="177">
                  <c:v>90.925622166605748</c:v>
                </c:pt>
                <c:pt idx="178">
                  <c:v>92.959480056630582</c:v>
                </c:pt>
                <c:pt idx="179">
                  <c:v>94.257859659500994</c:v>
                </c:pt>
                <c:pt idx="180">
                  <c:v>95.306803316145349</c:v>
                </c:pt>
                <c:pt idx="181">
                  <c:v>98.067839773589782</c:v>
                </c:pt>
                <c:pt idx="182">
                  <c:v>99.339783045042296</c:v>
                </c:pt>
                <c:pt idx="183">
                  <c:v>97.69740215462916</c:v>
                </c:pt>
                <c:pt idx="184">
                  <c:v>97.672627037274282</c:v>
                </c:pt>
                <c:pt idx="185">
                  <c:v>96.962511201003494</c:v>
                </c:pt>
                <c:pt idx="186">
                  <c:v>97.910615111206397</c:v>
                </c:pt>
                <c:pt idx="187">
                  <c:v>100.569351512037</c:v>
                </c:pt>
                <c:pt idx="188">
                  <c:v>101.13342330653001</c:v>
                </c:pt>
                <c:pt idx="189">
                  <c:v>97.996650590717195</c:v>
                </c:pt>
                <c:pt idx="190">
                  <c:v>96.944035656444782</c:v>
                </c:pt>
                <c:pt idx="191">
                  <c:v>98.882547181854306</c:v>
                </c:pt>
                <c:pt idx="192">
                  <c:v>98.284556314501145</c:v>
                </c:pt>
                <c:pt idx="193">
                  <c:v>97.387133484913207</c:v>
                </c:pt>
                <c:pt idx="194">
                  <c:v>95.931766041921307</c:v>
                </c:pt>
                <c:pt idx="195">
                  <c:v>93.707808175330001</c:v>
                </c:pt>
                <c:pt idx="196">
                  <c:v>93.134274565517501</c:v>
                </c:pt>
                <c:pt idx="197">
                  <c:v>95.800675429920801</c:v>
                </c:pt>
                <c:pt idx="198">
                  <c:v>97.524873483362796</c:v>
                </c:pt>
                <c:pt idx="199">
                  <c:v>100.559179377644</c:v>
                </c:pt>
                <c:pt idx="200">
                  <c:v>99.493901095795906</c:v>
                </c:pt>
                <c:pt idx="201">
                  <c:v>98.5</c:v>
                </c:pt>
                <c:pt idx="202">
                  <c:v>100.14</c:v>
                </c:pt>
                <c:pt idx="203">
                  <c:v>98.76</c:v>
                </c:pt>
              </c:numCache>
            </c:numRef>
          </c:val>
          <c:smooth val="0"/>
        </c:ser>
        <c:ser>
          <c:idx val="1"/>
          <c:order val="1"/>
          <c:tx>
            <c:v>TCR promedio real 1986-2004</c:v>
          </c:tx>
          <c:spPr>
            <a:ln>
              <a:solidFill>
                <a:schemeClr val="tx1">
                  <a:lumMod val="50000"/>
                  <a:lumOff val="50000"/>
                </a:schemeClr>
              </a:solidFill>
            </a:ln>
          </c:spPr>
          <c:marker>
            <c:symbol val="none"/>
          </c:marker>
          <c:cat>
            <c:strRef>
              <c:f>'TC real'!$A$161:$A$364</c:f>
              <c:strCache>
                <c:ptCount val="204"/>
                <c:pt idx="0">
                  <c:v>1999</c:v>
                </c:pt>
                <c:pt idx="1">
                  <c:v>Feb.99</c:v>
                </c:pt>
                <c:pt idx="2">
                  <c:v>Mar.99</c:v>
                </c:pt>
                <c:pt idx="3">
                  <c:v>Apr.99</c:v>
                </c:pt>
                <c:pt idx="4">
                  <c:v>May.99</c:v>
                </c:pt>
                <c:pt idx="5">
                  <c:v>Jun.99</c:v>
                </c:pt>
                <c:pt idx="6">
                  <c:v>Jul.99</c:v>
                </c:pt>
                <c:pt idx="7">
                  <c:v>Ago.99</c:v>
                </c:pt>
                <c:pt idx="8">
                  <c:v>Sep.99</c:v>
                </c:pt>
                <c:pt idx="9">
                  <c:v>Oct.99</c:v>
                </c:pt>
                <c:pt idx="10">
                  <c:v>Nov.99</c:v>
                </c:pt>
                <c:pt idx="11">
                  <c:v>Dec.99</c:v>
                </c:pt>
                <c:pt idx="12">
                  <c:v>2000</c:v>
                </c:pt>
                <c:pt idx="13">
                  <c:v>Feb.00</c:v>
                </c:pt>
                <c:pt idx="14">
                  <c:v>Mar.00</c:v>
                </c:pt>
                <c:pt idx="15">
                  <c:v>Apr.00</c:v>
                </c:pt>
                <c:pt idx="16">
                  <c:v>May.00</c:v>
                </c:pt>
                <c:pt idx="17">
                  <c:v>Jun.00</c:v>
                </c:pt>
                <c:pt idx="18">
                  <c:v>Jul.00</c:v>
                </c:pt>
                <c:pt idx="19">
                  <c:v>Ago.00</c:v>
                </c:pt>
                <c:pt idx="20">
                  <c:v>Sep.00</c:v>
                </c:pt>
                <c:pt idx="21">
                  <c:v>Oct.00</c:v>
                </c:pt>
                <c:pt idx="22">
                  <c:v>Nov.00</c:v>
                </c:pt>
                <c:pt idx="23">
                  <c:v>Dec.00</c:v>
                </c:pt>
                <c:pt idx="24">
                  <c:v>2001</c:v>
                </c:pt>
                <c:pt idx="25">
                  <c:v>Feb.01</c:v>
                </c:pt>
                <c:pt idx="26">
                  <c:v>Mar.01</c:v>
                </c:pt>
                <c:pt idx="27">
                  <c:v>Apr.01</c:v>
                </c:pt>
                <c:pt idx="28">
                  <c:v>May.01</c:v>
                </c:pt>
                <c:pt idx="29">
                  <c:v>Jun.01</c:v>
                </c:pt>
                <c:pt idx="30">
                  <c:v>Jul.01</c:v>
                </c:pt>
                <c:pt idx="31">
                  <c:v>Ago.01</c:v>
                </c:pt>
                <c:pt idx="32">
                  <c:v>Sep.01</c:v>
                </c:pt>
                <c:pt idx="33">
                  <c:v>Oct.01</c:v>
                </c:pt>
                <c:pt idx="34">
                  <c:v>Nov.01</c:v>
                </c:pt>
                <c:pt idx="35">
                  <c:v>Dec.01</c:v>
                </c:pt>
                <c:pt idx="36">
                  <c:v>2002</c:v>
                </c:pt>
                <c:pt idx="37">
                  <c:v>Feb.02</c:v>
                </c:pt>
                <c:pt idx="38">
                  <c:v>Mar.02</c:v>
                </c:pt>
                <c:pt idx="39">
                  <c:v>Apr.02</c:v>
                </c:pt>
                <c:pt idx="40">
                  <c:v>May.02</c:v>
                </c:pt>
                <c:pt idx="41">
                  <c:v>Jun.02</c:v>
                </c:pt>
                <c:pt idx="42">
                  <c:v>Jul.02</c:v>
                </c:pt>
                <c:pt idx="43">
                  <c:v>Ago.02</c:v>
                </c:pt>
                <c:pt idx="44">
                  <c:v>Sep.02</c:v>
                </c:pt>
                <c:pt idx="45">
                  <c:v>Oct.02</c:v>
                </c:pt>
                <c:pt idx="46">
                  <c:v>Nov.02</c:v>
                </c:pt>
                <c:pt idx="47">
                  <c:v>Dec.02</c:v>
                </c:pt>
                <c:pt idx="48">
                  <c:v>2003</c:v>
                </c:pt>
                <c:pt idx="49">
                  <c:v>Feb.03</c:v>
                </c:pt>
                <c:pt idx="50">
                  <c:v>Mar.03</c:v>
                </c:pt>
                <c:pt idx="51">
                  <c:v>Apr.03</c:v>
                </c:pt>
                <c:pt idx="52">
                  <c:v>May.03</c:v>
                </c:pt>
                <c:pt idx="53">
                  <c:v>Jun.03</c:v>
                </c:pt>
                <c:pt idx="54">
                  <c:v>Jul.03</c:v>
                </c:pt>
                <c:pt idx="55">
                  <c:v>Ago.03</c:v>
                </c:pt>
                <c:pt idx="56">
                  <c:v>Sep.03</c:v>
                </c:pt>
                <c:pt idx="57">
                  <c:v>Oct.03</c:v>
                </c:pt>
                <c:pt idx="58">
                  <c:v>Nov.03</c:v>
                </c:pt>
                <c:pt idx="59">
                  <c:v>Dec.03</c:v>
                </c:pt>
                <c:pt idx="60">
                  <c:v>2004</c:v>
                </c:pt>
                <c:pt idx="61">
                  <c:v>Feb.04</c:v>
                </c:pt>
                <c:pt idx="62">
                  <c:v>Mar.04</c:v>
                </c:pt>
                <c:pt idx="63">
                  <c:v>Apr.04</c:v>
                </c:pt>
                <c:pt idx="64">
                  <c:v>May.04</c:v>
                </c:pt>
                <c:pt idx="65">
                  <c:v>Jun.04</c:v>
                </c:pt>
                <c:pt idx="66">
                  <c:v>Jul.04</c:v>
                </c:pt>
                <c:pt idx="67">
                  <c:v>Ago.04</c:v>
                </c:pt>
                <c:pt idx="68">
                  <c:v>Sep.04</c:v>
                </c:pt>
                <c:pt idx="69">
                  <c:v>Oct.04</c:v>
                </c:pt>
                <c:pt idx="70">
                  <c:v>Nov.04</c:v>
                </c:pt>
                <c:pt idx="71">
                  <c:v>Dec.04</c:v>
                </c:pt>
                <c:pt idx="72">
                  <c:v>2005</c:v>
                </c:pt>
                <c:pt idx="73">
                  <c:v>Feb.05</c:v>
                </c:pt>
                <c:pt idx="74">
                  <c:v>Mar.05</c:v>
                </c:pt>
                <c:pt idx="75">
                  <c:v>Apr.05</c:v>
                </c:pt>
                <c:pt idx="76">
                  <c:v>May.05</c:v>
                </c:pt>
                <c:pt idx="77">
                  <c:v>Jun.05</c:v>
                </c:pt>
                <c:pt idx="78">
                  <c:v>Jul.05</c:v>
                </c:pt>
                <c:pt idx="79">
                  <c:v>Ago.05</c:v>
                </c:pt>
                <c:pt idx="80">
                  <c:v>Sep.05</c:v>
                </c:pt>
                <c:pt idx="81">
                  <c:v>Oct.05</c:v>
                </c:pt>
                <c:pt idx="82">
                  <c:v>Nov.05</c:v>
                </c:pt>
                <c:pt idx="83">
                  <c:v>Dec.05</c:v>
                </c:pt>
                <c:pt idx="84">
                  <c:v>2006</c:v>
                </c:pt>
                <c:pt idx="85">
                  <c:v>Feb.06</c:v>
                </c:pt>
                <c:pt idx="86">
                  <c:v>Mar.06</c:v>
                </c:pt>
                <c:pt idx="87">
                  <c:v>Apr.06</c:v>
                </c:pt>
                <c:pt idx="88">
                  <c:v>May.06</c:v>
                </c:pt>
                <c:pt idx="89">
                  <c:v>Jun.06</c:v>
                </c:pt>
                <c:pt idx="90">
                  <c:v>Jul.06</c:v>
                </c:pt>
                <c:pt idx="91">
                  <c:v>Ago.06</c:v>
                </c:pt>
                <c:pt idx="92">
                  <c:v>Sep.06</c:v>
                </c:pt>
                <c:pt idx="93">
                  <c:v>Oct.06</c:v>
                </c:pt>
                <c:pt idx="94">
                  <c:v>Nov.06</c:v>
                </c:pt>
                <c:pt idx="95">
                  <c:v>Dec.06</c:v>
                </c:pt>
                <c:pt idx="96">
                  <c:v>2007</c:v>
                </c:pt>
                <c:pt idx="97">
                  <c:v>Feb.07</c:v>
                </c:pt>
                <c:pt idx="98">
                  <c:v>Mar.07</c:v>
                </c:pt>
                <c:pt idx="99">
                  <c:v>Apr.07</c:v>
                </c:pt>
                <c:pt idx="100">
                  <c:v>May.07</c:v>
                </c:pt>
                <c:pt idx="101">
                  <c:v>Jun.07</c:v>
                </c:pt>
                <c:pt idx="102">
                  <c:v>Jul.07</c:v>
                </c:pt>
                <c:pt idx="103">
                  <c:v>Ago.07</c:v>
                </c:pt>
                <c:pt idx="104">
                  <c:v>Sep.07</c:v>
                </c:pt>
                <c:pt idx="105">
                  <c:v>Oct.07</c:v>
                </c:pt>
                <c:pt idx="106">
                  <c:v>Nov.07</c:v>
                </c:pt>
                <c:pt idx="107">
                  <c:v>Dec.07</c:v>
                </c:pt>
                <c:pt idx="108">
                  <c:v>2008</c:v>
                </c:pt>
                <c:pt idx="109">
                  <c:v>Feb.08</c:v>
                </c:pt>
                <c:pt idx="110">
                  <c:v>Mar.08</c:v>
                </c:pt>
                <c:pt idx="111">
                  <c:v>Apr.08</c:v>
                </c:pt>
                <c:pt idx="112">
                  <c:v>May.08</c:v>
                </c:pt>
                <c:pt idx="113">
                  <c:v>Jun.08</c:v>
                </c:pt>
                <c:pt idx="114">
                  <c:v>Jul.08</c:v>
                </c:pt>
                <c:pt idx="115">
                  <c:v>Ago.08</c:v>
                </c:pt>
                <c:pt idx="116">
                  <c:v>Sep.08</c:v>
                </c:pt>
                <c:pt idx="117">
                  <c:v>Oct.08</c:v>
                </c:pt>
                <c:pt idx="118">
                  <c:v>Nov.08</c:v>
                </c:pt>
                <c:pt idx="119">
                  <c:v>Dec.08</c:v>
                </c:pt>
                <c:pt idx="120">
                  <c:v>2009</c:v>
                </c:pt>
                <c:pt idx="121">
                  <c:v>Feb.09</c:v>
                </c:pt>
                <c:pt idx="122">
                  <c:v>Mar.09</c:v>
                </c:pt>
                <c:pt idx="123">
                  <c:v>Apr.09</c:v>
                </c:pt>
                <c:pt idx="124">
                  <c:v>May.09</c:v>
                </c:pt>
                <c:pt idx="125">
                  <c:v>Jun.09</c:v>
                </c:pt>
                <c:pt idx="126">
                  <c:v>Jul.09</c:v>
                </c:pt>
                <c:pt idx="127">
                  <c:v>Ago.09</c:v>
                </c:pt>
                <c:pt idx="128">
                  <c:v>Sep.09</c:v>
                </c:pt>
                <c:pt idx="129">
                  <c:v>Oct.09</c:v>
                </c:pt>
                <c:pt idx="130">
                  <c:v>Nov.09</c:v>
                </c:pt>
                <c:pt idx="131">
                  <c:v>Dec.09</c:v>
                </c:pt>
                <c:pt idx="132">
                  <c:v>2010</c:v>
                </c:pt>
                <c:pt idx="133">
                  <c:v>Feb.10</c:v>
                </c:pt>
                <c:pt idx="134">
                  <c:v>Mar.10</c:v>
                </c:pt>
                <c:pt idx="135">
                  <c:v>Apr.10</c:v>
                </c:pt>
                <c:pt idx="136">
                  <c:v>May.10</c:v>
                </c:pt>
                <c:pt idx="137">
                  <c:v>Jun.10</c:v>
                </c:pt>
                <c:pt idx="138">
                  <c:v>Jul.10</c:v>
                </c:pt>
                <c:pt idx="139">
                  <c:v>Ago.10</c:v>
                </c:pt>
                <c:pt idx="140">
                  <c:v>Sep.10</c:v>
                </c:pt>
                <c:pt idx="141">
                  <c:v>Oct.10</c:v>
                </c:pt>
                <c:pt idx="142">
                  <c:v>Nov.10</c:v>
                </c:pt>
                <c:pt idx="143">
                  <c:v>Dec.10</c:v>
                </c:pt>
                <c:pt idx="144">
                  <c:v>2011</c:v>
                </c:pt>
                <c:pt idx="145">
                  <c:v>Feb.11</c:v>
                </c:pt>
                <c:pt idx="146">
                  <c:v>Mar.11</c:v>
                </c:pt>
                <c:pt idx="147">
                  <c:v>Apr.11</c:v>
                </c:pt>
                <c:pt idx="148">
                  <c:v>May.11</c:v>
                </c:pt>
                <c:pt idx="149">
                  <c:v>Jun.11</c:v>
                </c:pt>
                <c:pt idx="150">
                  <c:v>Jul.11</c:v>
                </c:pt>
                <c:pt idx="151">
                  <c:v>Ago.11</c:v>
                </c:pt>
                <c:pt idx="152">
                  <c:v>Sep.11</c:v>
                </c:pt>
                <c:pt idx="153">
                  <c:v>Oct.11</c:v>
                </c:pt>
                <c:pt idx="154">
                  <c:v>Nov.11</c:v>
                </c:pt>
                <c:pt idx="155">
                  <c:v>Dec.11</c:v>
                </c:pt>
                <c:pt idx="156">
                  <c:v>2012</c:v>
                </c:pt>
                <c:pt idx="157">
                  <c:v>Feb.12</c:v>
                </c:pt>
                <c:pt idx="158">
                  <c:v>Mar.12</c:v>
                </c:pt>
                <c:pt idx="159">
                  <c:v>Apr.12</c:v>
                </c:pt>
                <c:pt idx="160">
                  <c:v>May.12</c:v>
                </c:pt>
                <c:pt idx="161">
                  <c:v>Jun.12</c:v>
                </c:pt>
                <c:pt idx="162">
                  <c:v>Jul.12</c:v>
                </c:pt>
                <c:pt idx="163">
                  <c:v>Ago.12</c:v>
                </c:pt>
                <c:pt idx="164">
                  <c:v>Sep.12</c:v>
                </c:pt>
                <c:pt idx="165">
                  <c:v>Oct.12</c:v>
                </c:pt>
                <c:pt idx="166">
                  <c:v>Nov.12</c:v>
                </c:pt>
                <c:pt idx="167">
                  <c:v>Dec.12</c:v>
                </c:pt>
                <c:pt idx="168">
                  <c:v>2013</c:v>
                </c:pt>
                <c:pt idx="169">
                  <c:v>Feb.13</c:v>
                </c:pt>
                <c:pt idx="170">
                  <c:v>Mar.13</c:v>
                </c:pt>
                <c:pt idx="171">
                  <c:v>Apr.13</c:v>
                </c:pt>
                <c:pt idx="172">
                  <c:v>May.13</c:v>
                </c:pt>
                <c:pt idx="173">
                  <c:v>Jun.13</c:v>
                </c:pt>
                <c:pt idx="174">
                  <c:v>Jul.13</c:v>
                </c:pt>
                <c:pt idx="175">
                  <c:v>Ago.13</c:v>
                </c:pt>
                <c:pt idx="176">
                  <c:v>Sep.13</c:v>
                </c:pt>
                <c:pt idx="177">
                  <c:v>Oct.13</c:v>
                </c:pt>
                <c:pt idx="178">
                  <c:v>Nov.13</c:v>
                </c:pt>
                <c:pt idx="179">
                  <c:v>Dec.13</c:v>
                </c:pt>
                <c:pt idx="180">
                  <c:v>2014</c:v>
                </c:pt>
                <c:pt idx="181">
                  <c:v>Feb.14</c:v>
                </c:pt>
                <c:pt idx="182">
                  <c:v>Mar.14</c:v>
                </c:pt>
                <c:pt idx="183">
                  <c:v>Apr.14</c:v>
                </c:pt>
                <c:pt idx="184">
                  <c:v>May.14</c:v>
                </c:pt>
                <c:pt idx="185">
                  <c:v>Jun.14</c:v>
                </c:pt>
                <c:pt idx="186">
                  <c:v>Jul.14</c:v>
                </c:pt>
                <c:pt idx="187">
                  <c:v>Ago.14</c:v>
                </c:pt>
                <c:pt idx="188">
                  <c:v>Sep.14</c:v>
                </c:pt>
                <c:pt idx="189">
                  <c:v>Oct.14</c:v>
                </c:pt>
                <c:pt idx="190">
                  <c:v>Nov.14</c:v>
                </c:pt>
                <c:pt idx="191">
                  <c:v>Dic.14</c:v>
                </c:pt>
                <c:pt idx="192">
                  <c:v>2015</c:v>
                </c:pt>
                <c:pt idx="193">
                  <c:v>Feb.15</c:v>
                </c:pt>
                <c:pt idx="194">
                  <c:v>Mar.15</c:v>
                </c:pt>
                <c:pt idx="195">
                  <c:v>Apr.15</c:v>
                </c:pt>
                <c:pt idx="196">
                  <c:v>May.15</c:v>
                </c:pt>
                <c:pt idx="197">
                  <c:v>Jun.15</c:v>
                </c:pt>
                <c:pt idx="198">
                  <c:v>Jul.15</c:v>
                </c:pt>
                <c:pt idx="199">
                  <c:v>Ago.15</c:v>
                </c:pt>
                <c:pt idx="200">
                  <c:v>Sep.15</c:v>
                </c:pt>
                <c:pt idx="201">
                  <c:v>Oct. 15</c:v>
                </c:pt>
                <c:pt idx="202">
                  <c:v>Nov. 15</c:v>
                </c:pt>
                <c:pt idx="203">
                  <c:v>Dic. 15</c:v>
                </c:pt>
              </c:strCache>
            </c:strRef>
          </c:cat>
          <c:val>
            <c:numRef>
              <c:f>'TC real'!$C$161:$C$364</c:f>
              <c:numCache>
                <c:formatCode>0.0</c:formatCode>
                <c:ptCount val="204"/>
                <c:pt idx="0">
                  <c:v>96.108026315789132</c:v>
                </c:pt>
                <c:pt idx="1">
                  <c:v>96.108026315789132</c:v>
                </c:pt>
                <c:pt idx="2">
                  <c:v>96.108026315789132</c:v>
                </c:pt>
                <c:pt idx="3">
                  <c:v>96.108026315789132</c:v>
                </c:pt>
                <c:pt idx="4">
                  <c:v>96.108026315789132</c:v>
                </c:pt>
                <c:pt idx="5">
                  <c:v>96.108026315789132</c:v>
                </c:pt>
                <c:pt idx="6">
                  <c:v>96.108026315789132</c:v>
                </c:pt>
                <c:pt idx="7">
                  <c:v>96.108026315789132</c:v>
                </c:pt>
                <c:pt idx="8">
                  <c:v>96.108026315789132</c:v>
                </c:pt>
                <c:pt idx="9">
                  <c:v>96.108026315789132</c:v>
                </c:pt>
                <c:pt idx="10">
                  <c:v>96.108026315789132</c:v>
                </c:pt>
                <c:pt idx="11">
                  <c:v>96.108026315789132</c:v>
                </c:pt>
                <c:pt idx="12">
                  <c:v>96.108026315789132</c:v>
                </c:pt>
                <c:pt idx="13">
                  <c:v>96.108026315789132</c:v>
                </c:pt>
                <c:pt idx="14">
                  <c:v>96.108026315789132</c:v>
                </c:pt>
                <c:pt idx="15">
                  <c:v>96.108026315789132</c:v>
                </c:pt>
                <c:pt idx="16">
                  <c:v>96.108026315789132</c:v>
                </c:pt>
                <c:pt idx="17">
                  <c:v>96.108026315789132</c:v>
                </c:pt>
                <c:pt idx="18">
                  <c:v>96.108026315789132</c:v>
                </c:pt>
                <c:pt idx="19">
                  <c:v>96.108026315789132</c:v>
                </c:pt>
                <c:pt idx="20">
                  <c:v>96.108026315789132</c:v>
                </c:pt>
                <c:pt idx="21">
                  <c:v>96.108026315789132</c:v>
                </c:pt>
                <c:pt idx="22">
                  <c:v>96.108026315789132</c:v>
                </c:pt>
                <c:pt idx="23">
                  <c:v>96.108026315789132</c:v>
                </c:pt>
                <c:pt idx="24">
                  <c:v>96.108026315789132</c:v>
                </c:pt>
                <c:pt idx="25">
                  <c:v>96.108026315789132</c:v>
                </c:pt>
                <c:pt idx="26">
                  <c:v>96.108026315789132</c:v>
                </c:pt>
                <c:pt idx="27">
                  <c:v>96.108026315789132</c:v>
                </c:pt>
                <c:pt idx="28">
                  <c:v>96.108026315789132</c:v>
                </c:pt>
                <c:pt idx="29">
                  <c:v>96.108026315789132</c:v>
                </c:pt>
                <c:pt idx="30">
                  <c:v>96.108026315789132</c:v>
                </c:pt>
                <c:pt idx="31">
                  <c:v>96.108026315789132</c:v>
                </c:pt>
                <c:pt idx="32">
                  <c:v>96.108026315789132</c:v>
                </c:pt>
                <c:pt idx="33">
                  <c:v>96.108026315789132</c:v>
                </c:pt>
                <c:pt idx="34">
                  <c:v>96.108026315789132</c:v>
                </c:pt>
                <c:pt idx="35">
                  <c:v>96.108026315789132</c:v>
                </c:pt>
                <c:pt idx="36">
                  <c:v>96.108026315789132</c:v>
                </c:pt>
                <c:pt idx="37">
                  <c:v>96.108026315789132</c:v>
                </c:pt>
                <c:pt idx="38">
                  <c:v>96.108026315789132</c:v>
                </c:pt>
                <c:pt idx="39">
                  <c:v>96.108026315789132</c:v>
                </c:pt>
                <c:pt idx="40">
                  <c:v>96.108026315789132</c:v>
                </c:pt>
                <c:pt idx="41">
                  <c:v>96.108026315789132</c:v>
                </c:pt>
                <c:pt idx="42">
                  <c:v>96.108026315789132</c:v>
                </c:pt>
                <c:pt idx="43">
                  <c:v>96.108026315789132</c:v>
                </c:pt>
                <c:pt idx="44">
                  <c:v>96.108026315789132</c:v>
                </c:pt>
                <c:pt idx="45">
                  <c:v>96.108026315789132</c:v>
                </c:pt>
                <c:pt idx="46">
                  <c:v>96.108026315789132</c:v>
                </c:pt>
                <c:pt idx="47">
                  <c:v>96.108026315789132</c:v>
                </c:pt>
                <c:pt idx="48">
                  <c:v>96.108026315789132</c:v>
                </c:pt>
                <c:pt idx="49">
                  <c:v>96.108026315789132</c:v>
                </c:pt>
                <c:pt idx="50">
                  <c:v>96.108026315789132</c:v>
                </c:pt>
                <c:pt idx="51">
                  <c:v>96.108026315789132</c:v>
                </c:pt>
                <c:pt idx="52">
                  <c:v>96.108026315789132</c:v>
                </c:pt>
                <c:pt idx="53">
                  <c:v>96.108026315789132</c:v>
                </c:pt>
                <c:pt idx="54">
                  <c:v>96.108026315789132</c:v>
                </c:pt>
                <c:pt idx="55">
                  <c:v>96.108026315789132</c:v>
                </c:pt>
                <c:pt idx="56">
                  <c:v>96.108026315789132</c:v>
                </c:pt>
                <c:pt idx="57">
                  <c:v>96.108026315789132</c:v>
                </c:pt>
                <c:pt idx="58">
                  <c:v>96.108026315789132</c:v>
                </c:pt>
                <c:pt idx="59">
                  <c:v>96.108026315789132</c:v>
                </c:pt>
                <c:pt idx="60">
                  <c:v>96.108026315789132</c:v>
                </c:pt>
                <c:pt idx="61">
                  <c:v>96.108026315789132</c:v>
                </c:pt>
                <c:pt idx="62">
                  <c:v>96.108026315789132</c:v>
                </c:pt>
                <c:pt idx="63">
                  <c:v>96.108026315789132</c:v>
                </c:pt>
                <c:pt idx="64">
                  <c:v>96.108026315789132</c:v>
                </c:pt>
                <c:pt idx="65">
                  <c:v>96.108026315789132</c:v>
                </c:pt>
                <c:pt idx="66">
                  <c:v>96.108026315789132</c:v>
                </c:pt>
                <c:pt idx="67">
                  <c:v>96.108026315789132</c:v>
                </c:pt>
                <c:pt idx="68">
                  <c:v>96.108026315789132</c:v>
                </c:pt>
                <c:pt idx="69">
                  <c:v>96.108026315789132</c:v>
                </c:pt>
                <c:pt idx="70">
                  <c:v>96.108026315789132</c:v>
                </c:pt>
                <c:pt idx="71">
                  <c:v>96.108026315789132</c:v>
                </c:pt>
                <c:pt idx="72">
                  <c:v>96.108026315789132</c:v>
                </c:pt>
                <c:pt idx="73">
                  <c:v>96.108026315789132</c:v>
                </c:pt>
                <c:pt idx="74">
                  <c:v>96.108026315789132</c:v>
                </c:pt>
                <c:pt idx="75">
                  <c:v>96.108026315789132</c:v>
                </c:pt>
                <c:pt idx="76">
                  <c:v>96.108026315789132</c:v>
                </c:pt>
                <c:pt idx="77">
                  <c:v>96.108026315789132</c:v>
                </c:pt>
                <c:pt idx="78">
                  <c:v>96.108026315789132</c:v>
                </c:pt>
                <c:pt idx="79">
                  <c:v>96.108026315789132</c:v>
                </c:pt>
                <c:pt idx="80">
                  <c:v>96.108026315789132</c:v>
                </c:pt>
                <c:pt idx="81">
                  <c:v>96.108026315789132</c:v>
                </c:pt>
                <c:pt idx="82">
                  <c:v>96.108026315789132</c:v>
                </c:pt>
                <c:pt idx="83">
                  <c:v>96.108026315789132</c:v>
                </c:pt>
                <c:pt idx="84">
                  <c:v>96.108026315789132</c:v>
                </c:pt>
                <c:pt idx="85">
                  <c:v>96.108026315789132</c:v>
                </c:pt>
                <c:pt idx="86">
                  <c:v>96.108026315789132</c:v>
                </c:pt>
                <c:pt idx="87">
                  <c:v>96.108026315789132</c:v>
                </c:pt>
                <c:pt idx="88">
                  <c:v>96.108026315789132</c:v>
                </c:pt>
                <c:pt idx="89">
                  <c:v>96.108026315789132</c:v>
                </c:pt>
                <c:pt idx="90">
                  <c:v>96.108026315789132</c:v>
                </c:pt>
                <c:pt idx="91">
                  <c:v>96.108026315789132</c:v>
                </c:pt>
                <c:pt idx="92">
                  <c:v>96.108026315789132</c:v>
                </c:pt>
                <c:pt idx="93">
                  <c:v>96.108026315789132</c:v>
                </c:pt>
                <c:pt idx="94">
                  <c:v>96.108026315789132</c:v>
                </c:pt>
                <c:pt idx="95">
                  <c:v>96.108026315789132</c:v>
                </c:pt>
                <c:pt idx="96">
                  <c:v>96.108026315789132</c:v>
                </c:pt>
                <c:pt idx="97">
                  <c:v>96.108026315789132</c:v>
                </c:pt>
                <c:pt idx="98">
                  <c:v>96.108026315789132</c:v>
                </c:pt>
                <c:pt idx="99">
                  <c:v>96.108026315789132</c:v>
                </c:pt>
                <c:pt idx="100">
                  <c:v>96.108026315789132</c:v>
                </c:pt>
                <c:pt idx="101">
                  <c:v>96.108026315789132</c:v>
                </c:pt>
                <c:pt idx="102">
                  <c:v>96.108026315789132</c:v>
                </c:pt>
                <c:pt idx="103">
                  <c:v>96.108026315789132</c:v>
                </c:pt>
                <c:pt idx="104">
                  <c:v>96.108026315789132</c:v>
                </c:pt>
                <c:pt idx="105">
                  <c:v>96.108026315789132</c:v>
                </c:pt>
                <c:pt idx="106">
                  <c:v>96.108026315789132</c:v>
                </c:pt>
                <c:pt idx="107">
                  <c:v>96.108026315789132</c:v>
                </c:pt>
                <c:pt idx="108">
                  <c:v>96.108026315789132</c:v>
                </c:pt>
                <c:pt idx="109">
                  <c:v>96.108026315789132</c:v>
                </c:pt>
                <c:pt idx="110">
                  <c:v>96.108026315789132</c:v>
                </c:pt>
                <c:pt idx="111">
                  <c:v>96.108026315789132</c:v>
                </c:pt>
                <c:pt idx="112">
                  <c:v>96.108026315789132</c:v>
                </c:pt>
                <c:pt idx="113">
                  <c:v>96.108026315789132</c:v>
                </c:pt>
                <c:pt idx="114">
                  <c:v>96.108026315789132</c:v>
                </c:pt>
                <c:pt idx="115">
                  <c:v>96.108026315789132</c:v>
                </c:pt>
                <c:pt idx="116">
                  <c:v>96.108026315789132</c:v>
                </c:pt>
                <c:pt idx="117">
                  <c:v>96.108026315789132</c:v>
                </c:pt>
                <c:pt idx="118">
                  <c:v>96.108026315789132</c:v>
                </c:pt>
                <c:pt idx="119">
                  <c:v>96.108026315789132</c:v>
                </c:pt>
                <c:pt idx="120">
                  <c:v>96.108026315789132</c:v>
                </c:pt>
                <c:pt idx="121">
                  <c:v>96.108026315789132</c:v>
                </c:pt>
                <c:pt idx="122">
                  <c:v>96.108026315789132</c:v>
                </c:pt>
                <c:pt idx="123">
                  <c:v>96.108026315789132</c:v>
                </c:pt>
                <c:pt idx="124">
                  <c:v>96.108026315789132</c:v>
                </c:pt>
                <c:pt idx="125">
                  <c:v>96.108026315789132</c:v>
                </c:pt>
                <c:pt idx="126">
                  <c:v>96.108026315789132</c:v>
                </c:pt>
                <c:pt idx="127">
                  <c:v>96.108026315789132</c:v>
                </c:pt>
                <c:pt idx="128">
                  <c:v>96.108026315789132</c:v>
                </c:pt>
                <c:pt idx="129">
                  <c:v>96.108026315789132</c:v>
                </c:pt>
                <c:pt idx="130">
                  <c:v>96.108026315789132</c:v>
                </c:pt>
                <c:pt idx="131">
                  <c:v>96.108026315789132</c:v>
                </c:pt>
                <c:pt idx="132">
                  <c:v>96.108026315789132</c:v>
                </c:pt>
                <c:pt idx="133">
                  <c:v>96.108026315789132</c:v>
                </c:pt>
                <c:pt idx="134">
                  <c:v>96.108026315789132</c:v>
                </c:pt>
                <c:pt idx="135">
                  <c:v>96.108026315789132</c:v>
                </c:pt>
                <c:pt idx="136">
                  <c:v>96.108026315789132</c:v>
                </c:pt>
                <c:pt idx="137">
                  <c:v>96.108026315789132</c:v>
                </c:pt>
                <c:pt idx="138">
                  <c:v>96.108026315789132</c:v>
                </c:pt>
                <c:pt idx="139">
                  <c:v>96.108026315789132</c:v>
                </c:pt>
                <c:pt idx="140">
                  <c:v>96.108026315789132</c:v>
                </c:pt>
                <c:pt idx="141">
                  <c:v>96.108026315789132</c:v>
                </c:pt>
                <c:pt idx="142">
                  <c:v>96.108026315789132</c:v>
                </c:pt>
                <c:pt idx="143">
                  <c:v>96.108026315789132</c:v>
                </c:pt>
                <c:pt idx="144">
                  <c:v>96.108026315789132</c:v>
                </c:pt>
                <c:pt idx="145">
                  <c:v>96.108026315789132</c:v>
                </c:pt>
                <c:pt idx="146">
                  <c:v>96.108026315789132</c:v>
                </c:pt>
                <c:pt idx="147">
                  <c:v>96.108026315789132</c:v>
                </c:pt>
                <c:pt idx="148">
                  <c:v>96.108026315789132</c:v>
                </c:pt>
                <c:pt idx="149">
                  <c:v>96.108026315789132</c:v>
                </c:pt>
                <c:pt idx="150">
                  <c:v>96.108026315789132</c:v>
                </c:pt>
                <c:pt idx="151">
                  <c:v>96.108026315789132</c:v>
                </c:pt>
                <c:pt idx="152">
                  <c:v>96.108026315789132</c:v>
                </c:pt>
                <c:pt idx="153">
                  <c:v>96.108026315789132</c:v>
                </c:pt>
                <c:pt idx="154">
                  <c:v>96.108026315789132</c:v>
                </c:pt>
                <c:pt idx="155">
                  <c:v>96.108026315789132</c:v>
                </c:pt>
                <c:pt idx="156">
                  <c:v>96.108026315789132</c:v>
                </c:pt>
                <c:pt idx="157">
                  <c:v>96.108026315789132</c:v>
                </c:pt>
                <c:pt idx="158">
                  <c:v>96.108026315789132</c:v>
                </c:pt>
                <c:pt idx="159">
                  <c:v>96.108026315789132</c:v>
                </c:pt>
                <c:pt idx="160">
                  <c:v>96.108026315789132</c:v>
                </c:pt>
                <c:pt idx="161">
                  <c:v>96.108026315789132</c:v>
                </c:pt>
                <c:pt idx="162">
                  <c:v>96.108026315789132</c:v>
                </c:pt>
                <c:pt idx="163">
                  <c:v>96.108026315789132</c:v>
                </c:pt>
                <c:pt idx="164">
                  <c:v>96.108026315789132</c:v>
                </c:pt>
                <c:pt idx="165">
                  <c:v>96.108026315789132</c:v>
                </c:pt>
                <c:pt idx="166">
                  <c:v>96.108026315789132</c:v>
                </c:pt>
                <c:pt idx="167">
                  <c:v>96.108026315789132</c:v>
                </c:pt>
                <c:pt idx="168">
                  <c:v>96.108026315789132</c:v>
                </c:pt>
                <c:pt idx="169">
                  <c:v>96.108026315789132</c:v>
                </c:pt>
                <c:pt idx="170">
                  <c:v>96.108026315789132</c:v>
                </c:pt>
                <c:pt idx="171">
                  <c:v>96.108026315789132</c:v>
                </c:pt>
                <c:pt idx="172">
                  <c:v>96.108026315789132</c:v>
                </c:pt>
                <c:pt idx="173">
                  <c:v>96.108026315789132</c:v>
                </c:pt>
                <c:pt idx="174">
                  <c:v>96.108026315789132</c:v>
                </c:pt>
                <c:pt idx="175">
                  <c:v>96.108026315789132</c:v>
                </c:pt>
                <c:pt idx="176">
                  <c:v>96.108026315789132</c:v>
                </c:pt>
                <c:pt idx="177">
                  <c:v>96.108026315789132</c:v>
                </c:pt>
                <c:pt idx="178">
                  <c:v>96.108026315789132</c:v>
                </c:pt>
                <c:pt idx="179">
                  <c:v>96.108026315789132</c:v>
                </c:pt>
                <c:pt idx="180">
                  <c:v>96.108026315789132</c:v>
                </c:pt>
                <c:pt idx="181">
                  <c:v>96.108026315789132</c:v>
                </c:pt>
                <c:pt idx="182">
                  <c:v>96.108026315789132</c:v>
                </c:pt>
                <c:pt idx="183">
                  <c:v>96.108026315789132</c:v>
                </c:pt>
                <c:pt idx="184">
                  <c:v>96.108026315789132</c:v>
                </c:pt>
                <c:pt idx="185">
                  <c:v>96.108026315789132</c:v>
                </c:pt>
                <c:pt idx="186">
                  <c:v>96.108026315789132</c:v>
                </c:pt>
                <c:pt idx="187">
                  <c:v>96.108026315789132</c:v>
                </c:pt>
                <c:pt idx="188">
                  <c:v>96.108026315789132</c:v>
                </c:pt>
                <c:pt idx="189">
                  <c:v>96.108026315789132</c:v>
                </c:pt>
                <c:pt idx="190">
                  <c:v>96.108026315789132</c:v>
                </c:pt>
                <c:pt idx="191">
                  <c:v>96.108026315789175</c:v>
                </c:pt>
                <c:pt idx="192">
                  <c:v>96.108026315789175</c:v>
                </c:pt>
                <c:pt idx="193">
                  <c:v>96.108026315789175</c:v>
                </c:pt>
                <c:pt idx="194">
                  <c:v>96.108026315789175</c:v>
                </c:pt>
                <c:pt idx="195">
                  <c:v>96.108026315789175</c:v>
                </c:pt>
                <c:pt idx="196">
                  <c:v>96.108026315789175</c:v>
                </c:pt>
                <c:pt idx="197">
                  <c:v>96.108026315789175</c:v>
                </c:pt>
                <c:pt idx="198">
                  <c:v>96.108026315789175</c:v>
                </c:pt>
                <c:pt idx="199">
                  <c:v>96.108026315789175</c:v>
                </c:pt>
                <c:pt idx="200">
                  <c:v>96.108026315789175</c:v>
                </c:pt>
                <c:pt idx="201">
                  <c:v>96.108026315789175</c:v>
                </c:pt>
                <c:pt idx="202">
                  <c:v>96.108026315789175</c:v>
                </c:pt>
                <c:pt idx="203">
                  <c:v>96.108026315789175</c:v>
                </c:pt>
              </c:numCache>
            </c:numRef>
          </c:val>
          <c:smooth val="0"/>
        </c:ser>
        <c:ser>
          <c:idx val="2"/>
          <c:order val="2"/>
          <c:tx>
            <c:v>Ajuste por Aranceles y "Reintegro Simplificado 1999-2004" </c:v>
          </c:tx>
          <c:spPr>
            <a:ln>
              <a:solidFill>
                <a:schemeClr val="tx1">
                  <a:lumMod val="95000"/>
                  <a:lumOff val="5000"/>
                </a:schemeClr>
              </a:solidFill>
              <a:prstDash val="lgDash"/>
            </a:ln>
          </c:spPr>
          <c:marker>
            <c:symbol val="none"/>
          </c:marker>
          <c:cat>
            <c:strRef>
              <c:f>'TC real'!$A$161:$A$364</c:f>
              <c:strCache>
                <c:ptCount val="204"/>
                <c:pt idx="0">
                  <c:v>1999</c:v>
                </c:pt>
                <c:pt idx="1">
                  <c:v>Feb.99</c:v>
                </c:pt>
                <c:pt idx="2">
                  <c:v>Mar.99</c:v>
                </c:pt>
                <c:pt idx="3">
                  <c:v>Apr.99</c:v>
                </c:pt>
                <c:pt idx="4">
                  <c:v>May.99</c:v>
                </c:pt>
                <c:pt idx="5">
                  <c:v>Jun.99</c:v>
                </c:pt>
                <c:pt idx="6">
                  <c:v>Jul.99</c:v>
                </c:pt>
                <c:pt idx="7">
                  <c:v>Ago.99</c:v>
                </c:pt>
                <c:pt idx="8">
                  <c:v>Sep.99</c:v>
                </c:pt>
                <c:pt idx="9">
                  <c:v>Oct.99</c:v>
                </c:pt>
                <c:pt idx="10">
                  <c:v>Nov.99</c:v>
                </c:pt>
                <c:pt idx="11">
                  <c:v>Dec.99</c:v>
                </c:pt>
                <c:pt idx="12">
                  <c:v>2000</c:v>
                </c:pt>
                <c:pt idx="13">
                  <c:v>Feb.00</c:v>
                </c:pt>
                <c:pt idx="14">
                  <c:v>Mar.00</c:v>
                </c:pt>
                <c:pt idx="15">
                  <c:v>Apr.00</c:v>
                </c:pt>
                <c:pt idx="16">
                  <c:v>May.00</c:v>
                </c:pt>
                <c:pt idx="17">
                  <c:v>Jun.00</c:v>
                </c:pt>
                <c:pt idx="18">
                  <c:v>Jul.00</c:v>
                </c:pt>
                <c:pt idx="19">
                  <c:v>Ago.00</c:v>
                </c:pt>
                <c:pt idx="20">
                  <c:v>Sep.00</c:v>
                </c:pt>
                <c:pt idx="21">
                  <c:v>Oct.00</c:v>
                </c:pt>
                <c:pt idx="22">
                  <c:v>Nov.00</c:v>
                </c:pt>
                <c:pt idx="23">
                  <c:v>Dec.00</c:v>
                </c:pt>
                <c:pt idx="24">
                  <c:v>2001</c:v>
                </c:pt>
                <c:pt idx="25">
                  <c:v>Feb.01</c:v>
                </c:pt>
                <c:pt idx="26">
                  <c:v>Mar.01</c:v>
                </c:pt>
                <c:pt idx="27">
                  <c:v>Apr.01</c:v>
                </c:pt>
                <c:pt idx="28">
                  <c:v>May.01</c:v>
                </c:pt>
                <c:pt idx="29">
                  <c:v>Jun.01</c:v>
                </c:pt>
                <c:pt idx="30">
                  <c:v>Jul.01</c:v>
                </c:pt>
                <c:pt idx="31">
                  <c:v>Ago.01</c:v>
                </c:pt>
                <c:pt idx="32">
                  <c:v>Sep.01</c:v>
                </c:pt>
                <c:pt idx="33">
                  <c:v>Oct.01</c:v>
                </c:pt>
                <c:pt idx="34">
                  <c:v>Nov.01</c:v>
                </c:pt>
                <c:pt idx="35">
                  <c:v>Dec.01</c:v>
                </c:pt>
                <c:pt idx="36">
                  <c:v>2002</c:v>
                </c:pt>
                <c:pt idx="37">
                  <c:v>Feb.02</c:v>
                </c:pt>
                <c:pt idx="38">
                  <c:v>Mar.02</c:v>
                </c:pt>
                <c:pt idx="39">
                  <c:v>Apr.02</c:v>
                </c:pt>
                <c:pt idx="40">
                  <c:v>May.02</c:v>
                </c:pt>
                <c:pt idx="41">
                  <c:v>Jun.02</c:v>
                </c:pt>
                <c:pt idx="42">
                  <c:v>Jul.02</c:v>
                </c:pt>
                <c:pt idx="43">
                  <c:v>Ago.02</c:v>
                </c:pt>
                <c:pt idx="44">
                  <c:v>Sep.02</c:v>
                </c:pt>
                <c:pt idx="45">
                  <c:v>Oct.02</c:v>
                </c:pt>
                <c:pt idx="46">
                  <c:v>Nov.02</c:v>
                </c:pt>
                <c:pt idx="47">
                  <c:v>Dec.02</c:v>
                </c:pt>
                <c:pt idx="48">
                  <c:v>2003</c:v>
                </c:pt>
                <c:pt idx="49">
                  <c:v>Feb.03</c:v>
                </c:pt>
                <c:pt idx="50">
                  <c:v>Mar.03</c:v>
                </c:pt>
                <c:pt idx="51">
                  <c:v>Apr.03</c:v>
                </c:pt>
                <c:pt idx="52">
                  <c:v>May.03</c:v>
                </c:pt>
                <c:pt idx="53">
                  <c:v>Jun.03</c:v>
                </c:pt>
                <c:pt idx="54">
                  <c:v>Jul.03</c:v>
                </c:pt>
                <c:pt idx="55">
                  <c:v>Ago.03</c:v>
                </c:pt>
                <c:pt idx="56">
                  <c:v>Sep.03</c:v>
                </c:pt>
                <c:pt idx="57">
                  <c:v>Oct.03</c:v>
                </c:pt>
                <c:pt idx="58">
                  <c:v>Nov.03</c:v>
                </c:pt>
                <c:pt idx="59">
                  <c:v>Dec.03</c:v>
                </c:pt>
                <c:pt idx="60">
                  <c:v>2004</c:v>
                </c:pt>
                <c:pt idx="61">
                  <c:v>Feb.04</c:v>
                </c:pt>
                <c:pt idx="62">
                  <c:v>Mar.04</c:v>
                </c:pt>
                <c:pt idx="63">
                  <c:v>Apr.04</c:v>
                </c:pt>
                <c:pt idx="64">
                  <c:v>May.04</c:v>
                </c:pt>
                <c:pt idx="65">
                  <c:v>Jun.04</c:v>
                </c:pt>
                <c:pt idx="66">
                  <c:v>Jul.04</c:v>
                </c:pt>
                <c:pt idx="67">
                  <c:v>Ago.04</c:v>
                </c:pt>
                <c:pt idx="68">
                  <c:v>Sep.04</c:v>
                </c:pt>
                <c:pt idx="69">
                  <c:v>Oct.04</c:v>
                </c:pt>
                <c:pt idx="70">
                  <c:v>Nov.04</c:v>
                </c:pt>
                <c:pt idx="71">
                  <c:v>Dec.04</c:v>
                </c:pt>
                <c:pt idx="72">
                  <c:v>2005</c:v>
                </c:pt>
                <c:pt idx="73">
                  <c:v>Feb.05</c:v>
                </c:pt>
                <c:pt idx="74">
                  <c:v>Mar.05</c:v>
                </c:pt>
                <c:pt idx="75">
                  <c:v>Apr.05</c:v>
                </c:pt>
                <c:pt idx="76">
                  <c:v>May.05</c:v>
                </c:pt>
                <c:pt idx="77">
                  <c:v>Jun.05</c:v>
                </c:pt>
                <c:pt idx="78">
                  <c:v>Jul.05</c:v>
                </c:pt>
                <c:pt idx="79">
                  <c:v>Ago.05</c:v>
                </c:pt>
                <c:pt idx="80">
                  <c:v>Sep.05</c:v>
                </c:pt>
                <c:pt idx="81">
                  <c:v>Oct.05</c:v>
                </c:pt>
                <c:pt idx="82">
                  <c:v>Nov.05</c:v>
                </c:pt>
                <c:pt idx="83">
                  <c:v>Dec.05</c:v>
                </c:pt>
                <c:pt idx="84">
                  <c:v>2006</c:v>
                </c:pt>
                <c:pt idx="85">
                  <c:v>Feb.06</c:v>
                </c:pt>
                <c:pt idx="86">
                  <c:v>Mar.06</c:v>
                </c:pt>
                <c:pt idx="87">
                  <c:v>Apr.06</c:v>
                </c:pt>
                <c:pt idx="88">
                  <c:v>May.06</c:v>
                </c:pt>
                <c:pt idx="89">
                  <c:v>Jun.06</c:v>
                </c:pt>
                <c:pt idx="90">
                  <c:v>Jul.06</c:v>
                </c:pt>
                <c:pt idx="91">
                  <c:v>Ago.06</c:v>
                </c:pt>
                <c:pt idx="92">
                  <c:v>Sep.06</c:v>
                </c:pt>
                <c:pt idx="93">
                  <c:v>Oct.06</c:v>
                </c:pt>
                <c:pt idx="94">
                  <c:v>Nov.06</c:v>
                </c:pt>
                <c:pt idx="95">
                  <c:v>Dec.06</c:v>
                </c:pt>
                <c:pt idx="96">
                  <c:v>2007</c:v>
                </c:pt>
                <c:pt idx="97">
                  <c:v>Feb.07</c:v>
                </c:pt>
                <c:pt idx="98">
                  <c:v>Mar.07</c:v>
                </c:pt>
                <c:pt idx="99">
                  <c:v>Apr.07</c:v>
                </c:pt>
                <c:pt idx="100">
                  <c:v>May.07</c:v>
                </c:pt>
                <c:pt idx="101">
                  <c:v>Jun.07</c:v>
                </c:pt>
                <c:pt idx="102">
                  <c:v>Jul.07</c:v>
                </c:pt>
                <c:pt idx="103">
                  <c:v>Ago.07</c:v>
                </c:pt>
                <c:pt idx="104">
                  <c:v>Sep.07</c:v>
                </c:pt>
                <c:pt idx="105">
                  <c:v>Oct.07</c:v>
                </c:pt>
                <c:pt idx="106">
                  <c:v>Nov.07</c:v>
                </c:pt>
                <c:pt idx="107">
                  <c:v>Dec.07</c:v>
                </c:pt>
                <c:pt idx="108">
                  <c:v>2008</c:v>
                </c:pt>
                <c:pt idx="109">
                  <c:v>Feb.08</c:v>
                </c:pt>
                <c:pt idx="110">
                  <c:v>Mar.08</c:v>
                </c:pt>
                <c:pt idx="111">
                  <c:v>Apr.08</c:v>
                </c:pt>
                <c:pt idx="112">
                  <c:v>May.08</c:v>
                </c:pt>
                <c:pt idx="113">
                  <c:v>Jun.08</c:v>
                </c:pt>
                <c:pt idx="114">
                  <c:v>Jul.08</c:v>
                </c:pt>
                <c:pt idx="115">
                  <c:v>Ago.08</c:v>
                </c:pt>
                <c:pt idx="116">
                  <c:v>Sep.08</c:v>
                </c:pt>
                <c:pt idx="117">
                  <c:v>Oct.08</c:v>
                </c:pt>
                <c:pt idx="118">
                  <c:v>Nov.08</c:v>
                </c:pt>
                <c:pt idx="119">
                  <c:v>Dec.08</c:v>
                </c:pt>
                <c:pt idx="120">
                  <c:v>2009</c:v>
                </c:pt>
                <c:pt idx="121">
                  <c:v>Feb.09</c:v>
                </c:pt>
                <c:pt idx="122">
                  <c:v>Mar.09</c:v>
                </c:pt>
                <c:pt idx="123">
                  <c:v>Apr.09</c:v>
                </c:pt>
                <c:pt idx="124">
                  <c:v>May.09</c:v>
                </c:pt>
                <c:pt idx="125">
                  <c:v>Jun.09</c:v>
                </c:pt>
                <c:pt idx="126">
                  <c:v>Jul.09</c:v>
                </c:pt>
                <c:pt idx="127">
                  <c:v>Ago.09</c:v>
                </c:pt>
                <c:pt idx="128">
                  <c:v>Sep.09</c:v>
                </c:pt>
                <c:pt idx="129">
                  <c:v>Oct.09</c:v>
                </c:pt>
                <c:pt idx="130">
                  <c:v>Nov.09</c:v>
                </c:pt>
                <c:pt idx="131">
                  <c:v>Dec.09</c:v>
                </c:pt>
                <c:pt idx="132">
                  <c:v>2010</c:v>
                </c:pt>
                <c:pt idx="133">
                  <c:v>Feb.10</c:v>
                </c:pt>
                <c:pt idx="134">
                  <c:v>Mar.10</c:v>
                </c:pt>
                <c:pt idx="135">
                  <c:v>Apr.10</c:v>
                </c:pt>
                <c:pt idx="136">
                  <c:v>May.10</c:v>
                </c:pt>
                <c:pt idx="137">
                  <c:v>Jun.10</c:v>
                </c:pt>
                <c:pt idx="138">
                  <c:v>Jul.10</c:v>
                </c:pt>
                <c:pt idx="139">
                  <c:v>Ago.10</c:v>
                </c:pt>
                <c:pt idx="140">
                  <c:v>Sep.10</c:v>
                </c:pt>
                <c:pt idx="141">
                  <c:v>Oct.10</c:v>
                </c:pt>
                <c:pt idx="142">
                  <c:v>Nov.10</c:v>
                </c:pt>
                <c:pt idx="143">
                  <c:v>Dec.10</c:v>
                </c:pt>
                <c:pt idx="144">
                  <c:v>2011</c:v>
                </c:pt>
                <c:pt idx="145">
                  <c:v>Feb.11</c:v>
                </c:pt>
                <c:pt idx="146">
                  <c:v>Mar.11</c:v>
                </c:pt>
                <c:pt idx="147">
                  <c:v>Apr.11</c:v>
                </c:pt>
                <c:pt idx="148">
                  <c:v>May.11</c:v>
                </c:pt>
                <c:pt idx="149">
                  <c:v>Jun.11</c:v>
                </c:pt>
                <c:pt idx="150">
                  <c:v>Jul.11</c:v>
                </c:pt>
                <c:pt idx="151">
                  <c:v>Ago.11</c:v>
                </c:pt>
                <c:pt idx="152">
                  <c:v>Sep.11</c:v>
                </c:pt>
                <c:pt idx="153">
                  <c:v>Oct.11</c:v>
                </c:pt>
                <c:pt idx="154">
                  <c:v>Nov.11</c:v>
                </c:pt>
                <c:pt idx="155">
                  <c:v>Dec.11</c:v>
                </c:pt>
                <c:pt idx="156">
                  <c:v>2012</c:v>
                </c:pt>
                <c:pt idx="157">
                  <c:v>Feb.12</c:v>
                </c:pt>
                <c:pt idx="158">
                  <c:v>Mar.12</c:v>
                </c:pt>
                <c:pt idx="159">
                  <c:v>Apr.12</c:v>
                </c:pt>
                <c:pt idx="160">
                  <c:v>May.12</c:v>
                </c:pt>
                <c:pt idx="161">
                  <c:v>Jun.12</c:v>
                </c:pt>
                <c:pt idx="162">
                  <c:v>Jul.12</c:v>
                </c:pt>
                <c:pt idx="163">
                  <c:v>Ago.12</c:v>
                </c:pt>
                <c:pt idx="164">
                  <c:v>Sep.12</c:v>
                </c:pt>
                <c:pt idx="165">
                  <c:v>Oct.12</c:v>
                </c:pt>
                <c:pt idx="166">
                  <c:v>Nov.12</c:v>
                </c:pt>
                <c:pt idx="167">
                  <c:v>Dec.12</c:v>
                </c:pt>
                <c:pt idx="168">
                  <c:v>2013</c:v>
                </c:pt>
                <c:pt idx="169">
                  <c:v>Feb.13</c:v>
                </c:pt>
                <c:pt idx="170">
                  <c:v>Mar.13</c:v>
                </c:pt>
                <c:pt idx="171">
                  <c:v>Apr.13</c:v>
                </c:pt>
                <c:pt idx="172">
                  <c:v>May.13</c:v>
                </c:pt>
                <c:pt idx="173">
                  <c:v>Jun.13</c:v>
                </c:pt>
                <c:pt idx="174">
                  <c:v>Jul.13</c:v>
                </c:pt>
                <c:pt idx="175">
                  <c:v>Ago.13</c:v>
                </c:pt>
                <c:pt idx="176">
                  <c:v>Sep.13</c:v>
                </c:pt>
                <c:pt idx="177">
                  <c:v>Oct.13</c:v>
                </c:pt>
                <c:pt idx="178">
                  <c:v>Nov.13</c:v>
                </c:pt>
                <c:pt idx="179">
                  <c:v>Dec.13</c:v>
                </c:pt>
                <c:pt idx="180">
                  <c:v>2014</c:v>
                </c:pt>
                <c:pt idx="181">
                  <c:v>Feb.14</c:v>
                </c:pt>
                <c:pt idx="182">
                  <c:v>Mar.14</c:v>
                </c:pt>
                <c:pt idx="183">
                  <c:v>Apr.14</c:v>
                </c:pt>
                <c:pt idx="184">
                  <c:v>May.14</c:v>
                </c:pt>
                <c:pt idx="185">
                  <c:v>Jun.14</c:v>
                </c:pt>
                <c:pt idx="186">
                  <c:v>Jul.14</c:v>
                </c:pt>
                <c:pt idx="187">
                  <c:v>Ago.14</c:v>
                </c:pt>
                <c:pt idx="188">
                  <c:v>Sep.14</c:v>
                </c:pt>
                <c:pt idx="189">
                  <c:v>Oct.14</c:v>
                </c:pt>
                <c:pt idx="190">
                  <c:v>Nov.14</c:v>
                </c:pt>
                <c:pt idx="191">
                  <c:v>Dic.14</c:v>
                </c:pt>
                <c:pt idx="192">
                  <c:v>2015</c:v>
                </c:pt>
                <c:pt idx="193">
                  <c:v>Feb.15</c:v>
                </c:pt>
                <c:pt idx="194">
                  <c:v>Mar.15</c:v>
                </c:pt>
                <c:pt idx="195">
                  <c:v>Apr.15</c:v>
                </c:pt>
                <c:pt idx="196">
                  <c:v>May.15</c:v>
                </c:pt>
                <c:pt idx="197">
                  <c:v>Jun.15</c:v>
                </c:pt>
                <c:pt idx="198">
                  <c:v>Jul.15</c:v>
                </c:pt>
                <c:pt idx="199">
                  <c:v>Ago.15</c:v>
                </c:pt>
                <c:pt idx="200">
                  <c:v>Sep.15</c:v>
                </c:pt>
                <c:pt idx="201">
                  <c:v>Oct. 15</c:v>
                </c:pt>
                <c:pt idx="202">
                  <c:v>Nov. 15</c:v>
                </c:pt>
                <c:pt idx="203">
                  <c:v>Dic. 15</c:v>
                </c:pt>
              </c:strCache>
            </c:strRef>
          </c:cat>
          <c:val>
            <c:numRef>
              <c:f>'TC real'!$D$161:$D$364</c:f>
              <c:numCache>
                <c:formatCode>0.0</c:formatCode>
                <c:ptCount val="204"/>
                <c:pt idx="0">
                  <c:v>96.108026315789132</c:v>
                </c:pt>
                <c:pt idx="1">
                  <c:v>96.235333798842902</c:v>
                </c:pt>
                <c:pt idx="2">
                  <c:v>96.362809917085741</c:v>
                </c:pt>
                <c:pt idx="3">
                  <c:v>96.490454893897663</c:v>
                </c:pt>
                <c:pt idx="4">
                  <c:v>96.618268952952889</c:v>
                </c:pt>
                <c:pt idx="5">
                  <c:v>96.746252318223284</c:v>
                </c:pt>
                <c:pt idx="6">
                  <c:v>96.874405213976289</c:v>
                </c:pt>
                <c:pt idx="7">
                  <c:v>97.002727864777313</c:v>
                </c:pt>
                <c:pt idx="8">
                  <c:v>97.131220495488563</c:v>
                </c:pt>
                <c:pt idx="9">
                  <c:v>97.259883331270416</c:v>
                </c:pt>
                <c:pt idx="10">
                  <c:v>97.38871659758108</c:v>
                </c:pt>
                <c:pt idx="11">
                  <c:v>97.517720520178997</c:v>
                </c:pt>
                <c:pt idx="12">
                  <c:v>97.646895325119203</c:v>
                </c:pt>
                <c:pt idx="13">
                  <c:v>97.776241238757777</c:v>
                </c:pt>
                <c:pt idx="14">
                  <c:v>97.905758487750347</c:v>
                </c:pt>
                <c:pt idx="15">
                  <c:v>98.035447299052748</c:v>
                </c:pt>
                <c:pt idx="16">
                  <c:v>98.165307899921004</c:v>
                </c:pt>
                <c:pt idx="17">
                  <c:v>98.295340517913345</c:v>
                </c:pt>
                <c:pt idx="18">
                  <c:v>98.425545380888153</c:v>
                </c:pt>
                <c:pt idx="19">
                  <c:v>98.555922717005885</c:v>
                </c:pt>
                <c:pt idx="20">
                  <c:v>98.686472754729721</c:v>
                </c:pt>
                <c:pt idx="21">
                  <c:v>98.817195722825844</c:v>
                </c:pt>
                <c:pt idx="22">
                  <c:v>98.948091850361848</c:v>
                </c:pt>
                <c:pt idx="23">
                  <c:v>99.079161366710252</c:v>
                </c:pt>
                <c:pt idx="24">
                  <c:v>99.210404501546833</c:v>
                </c:pt>
                <c:pt idx="25">
                  <c:v>99.341821484851707</c:v>
                </c:pt>
                <c:pt idx="26">
                  <c:v>99.473412546909358</c:v>
                </c:pt>
                <c:pt idx="27">
                  <c:v>99.60517791831009</c:v>
                </c:pt>
                <c:pt idx="28">
                  <c:v>99.737117829948801</c:v>
                </c:pt>
                <c:pt idx="29">
                  <c:v>99.869232513026176</c:v>
                </c:pt>
                <c:pt idx="30">
                  <c:v>100.0015221990506</c:v>
                </c:pt>
                <c:pt idx="31">
                  <c:v>100.133987119835</c:v>
                </c:pt>
                <c:pt idx="32">
                  <c:v>100.2666275075009</c:v>
                </c:pt>
                <c:pt idx="33">
                  <c:v>100.39944359447669</c:v>
                </c:pt>
                <c:pt idx="34">
                  <c:v>100.5324356134989</c:v>
                </c:pt>
                <c:pt idx="35">
                  <c:v>100.66560379761221</c:v>
                </c:pt>
                <c:pt idx="36">
                  <c:v>100.7989483801699</c:v>
                </c:pt>
                <c:pt idx="37">
                  <c:v>100.9324695948346</c:v>
                </c:pt>
                <c:pt idx="38">
                  <c:v>101.0661676755783</c:v>
                </c:pt>
                <c:pt idx="39">
                  <c:v>101.2000428566829</c:v>
                </c:pt>
                <c:pt idx="40">
                  <c:v>101.33409537274071</c:v>
                </c:pt>
                <c:pt idx="41">
                  <c:v>101.4683254586548</c:v>
                </c:pt>
                <c:pt idx="42">
                  <c:v>101.60273334963919</c:v>
                </c:pt>
                <c:pt idx="43">
                  <c:v>101.73731928122</c:v>
                </c:pt>
                <c:pt idx="44">
                  <c:v>101.8720834892345</c:v>
                </c:pt>
                <c:pt idx="45">
                  <c:v>102.0070262098332</c:v>
                </c:pt>
                <c:pt idx="46">
                  <c:v>102.1421476794789</c:v>
                </c:pt>
                <c:pt idx="47">
                  <c:v>102.2774481349478</c:v>
                </c:pt>
                <c:pt idx="48">
                  <c:v>102.4129278133297</c:v>
                </c:pt>
                <c:pt idx="49">
                  <c:v>102.5485869520286</c:v>
                </c:pt>
                <c:pt idx="50">
                  <c:v>102.6844257887627</c:v>
                </c:pt>
                <c:pt idx="51">
                  <c:v>102.8204445615653</c:v>
                </c:pt>
                <c:pt idx="52">
                  <c:v>102.95664350878489</c:v>
                </c:pt>
                <c:pt idx="53">
                  <c:v>103.0930228690858</c:v>
                </c:pt>
                <c:pt idx="54">
                  <c:v>103.22958288144849</c:v>
                </c:pt>
                <c:pt idx="55">
                  <c:v>103.3663237851698</c:v>
                </c:pt>
                <c:pt idx="56">
                  <c:v>103.50324581986369</c:v>
                </c:pt>
                <c:pt idx="57">
                  <c:v>103.64034922546151</c:v>
                </c:pt>
                <c:pt idx="58">
                  <c:v>103.7776342422126</c:v>
                </c:pt>
                <c:pt idx="59">
                  <c:v>103.91510111068411</c:v>
                </c:pt>
                <c:pt idx="60">
                  <c:v>104.0527500717623</c:v>
                </c:pt>
                <c:pt idx="61">
                  <c:v>104.1905813666522</c:v>
                </c:pt>
                <c:pt idx="62">
                  <c:v>104.3285952368786</c:v>
                </c:pt>
                <c:pt idx="63">
                  <c:v>104.466791924286</c:v>
                </c:pt>
                <c:pt idx="64">
                  <c:v>104.6051716710394</c:v>
                </c:pt>
                <c:pt idx="65">
                  <c:v>104.7437347196244</c:v>
                </c:pt>
                <c:pt idx="66">
                  <c:v>104.8824813128481</c:v>
                </c:pt>
                <c:pt idx="67">
                  <c:v>105.0214116938391</c:v>
                </c:pt>
                <c:pt idx="68">
                  <c:v>105.1605261060478</c:v>
                </c:pt>
                <c:pt idx="69">
                  <c:v>105.2998247932474</c:v>
                </c:pt>
                <c:pt idx="70">
                  <c:v>105.4393079995339</c:v>
                </c:pt>
                <c:pt idx="71">
                  <c:v>105.57897596932661</c:v>
                </c:pt>
                <c:pt idx="72">
                  <c:v>105.71882894736849</c:v>
                </c:pt>
                <c:pt idx="73">
                  <c:v>105.71882894736849</c:v>
                </c:pt>
                <c:pt idx="74">
                  <c:v>105.71882894736849</c:v>
                </c:pt>
                <c:pt idx="75">
                  <c:v>105.71882894736849</c:v>
                </c:pt>
                <c:pt idx="76">
                  <c:v>105.71882894736849</c:v>
                </c:pt>
                <c:pt idx="77">
                  <c:v>105.71882894736849</c:v>
                </c:pt>
                <c:pt idx="78">
                  <c:v>105.71882894736849</c:v>
                </c:pt>
                <c:pt idx="79">
                  <c:v>105.71882894736849</c:v>
                </c:pt>
                <c:pt idx="80">
                  <c:v>105.71882894736849</c:v>
                </c:pt>
                <c:pt idx="81">
                  <c:v>105.71882894736849</c:v>
                </c:pt>
                <c:pt idx="82">
                  <c:v>105.71882894736849</c:v>
                </c:pt>
                <c:pt idx="83">
                  <c:v>105.71882894736849</c:v>
                </c:pt>
                <c:pt idx="84">
                  <c:v>105.71882894736849</c:v>
                </c:pt>
                <c:pt idx="85">
                  <c:v>105.71882894736849</c:v>
                </c:pt>
                <c:pt idx="86">
                  <c:v>105.71882894736849</c:v>
                </c:pt>
                <c:pt idx="87">
                  <c:v>105.71882894736849</c:v>
                </c:pt>
                <c:pt idx="88">
                  <c:v>105.71882894736849</c:v>
                </c:pt>
                <c:pt idx="89">
                  <c:v>105.71882894736849</c:v>
                </c:pt>
                <c:pt idx="90">
                  <c:v>105.71882894736849</c:v>
                </c:pt>
                <c:pt idx="91">
                  <c:v>105.71882894736849</c:v>
                </c:pt>
                <c:pt idx="92">
                  <c:v>105.71882894736849</c:v>
                </c:pt>
                <c:pt idx="93">
                  <c:v>105.71882894736849</c:v>
                </c:pt>
                <c:pt idx="94">
                  <c:v>105.71882894736849</c:v>
                </c:pt>
                <c:pt idx="95">
                  <c:v>105.71882894736849</c:v>
                </c:pt>
                <c:pt idx="96">
                  <c:v>105.71882894736849</c:v>
                </c:pt>
                <c:pt idx="97">
                  <c:v>105.71882894736849</c:v>
                </c:pt>
                <c:pt idx="98">
                  <c:v>105.71882894736849</c:v>
                </c:pt>
                <c:pt idx="99">
                  <c:v>105.71882894736849</c:v>
                </c:pt>
                <c:pt idx="100">
                  <c:v>105.71882894736849</c:v>
                </c:pt>
                <c:pt idx="101">
                  <c:v>105.71882894736849</c:v>
                </c:pt>
                <c:pt idx="102">
                  <c:v>105.71882894736849</c:v>
                </c:pt>
                <c:pt idx="103">
                  <c:v>105.71882894736849</c:v>
                </c:pt>
                <c:pt idx="104">
                  <c:v>105.71882894736849</c:v>
                </c:pt>
                <c:pt idx="105">
                  <c:v>105.71882894736849</c:v>
                </c:pt>
                <c:pt idx="106">
                  <c:v>105.71882894736849</c:v>
                </c:pt>
                <c:pt idx="107">
                  <c:v>105.71882894736849</c:v>
                </c:pt>
                <c:pt idx="108">
                  <c:v>105.71882894736849</c:v>
                </c:pt>
                <c:pt idx="109">
                  <c:v>105.71882894736849</c:v>
                </c:pt>
                <c:pt idx="110">
                  <c:v>105.71882894736849</c:v>
                </c:pt>
                <c:pt idx="111">
                  <c:v>105.71882894736849</c:v>
                </c:pt>
                <c:pt idx="112">
                  <c:v>105.71882894736849</c:v>
                </c:pt>
                <c:pt idx="113">
                  <c:v>105.71882894736849</c:v>
                </c:pt>
                <c:pt idx="114">
                  <c:v>105.71882894736849</c:v>
                </c:pt>
                <c:pt idx="115">
                  <c:v>105.71882894736849</c:v>
                </c:pt>
                <c:pt idx="116">
                  <c:v>105.71882894736849</c:v>
                </c:pt>
                <c:pt idx="117">
                  <c:v>105.71882894736849</c:v>
                </c:pt>
                <c:pt idx="118">
                  <c:v>105.71882894736849</c:v>
                </c:pt>
                <c:pt idx="119">
                  <c:v>105.71882894736849</c:v>
                </c:pt>
                <c:pt idx="120">
                  <c:v>105.71882894736849</c:v>
                </c:pt>
                <c:pt idx="121">
                  <c:v>105.71882894736849</c:v>
                </c:pt>
                <c:pt idx="122">
                  <c:v>105.71882894736849</c:v>
                </c:pt>
                <c:pt idx="123">
                  <c:v>105.71882894736849</c:v>
                </c:pt>
                <c:pt idx="124">
                  <c:v>105.71882894736849</c:v>
                </c:pt>
                <c:pt idx="125">
                  <c:v>105.71882894736849</c:v>
                </c:pt>
                <c:pt idx="126">
                  <c:v>105.71882894736849</c:v>
                </c:pt>
                <c:pt idx="127">
                  <c:v>105.71882894736849</c:v>
                </c:pt>
                <c:pt idx="128">
                  <c:v>105.71882894736849</c:v>
                </c:pt>
                <c:pt idx="129">
                  <c:v>105.71882894736849</c:v>
                </c:pt>
                <c:pt idx="130">
                  <c:v>105.71882894736849</c:v>
                </c:pt>
                <c:pt idx="131">
                  <c:v>105.71882894736849</c:v>
                </c:pt>
                <c:pt idx="132">
                  <c:v>105.71882894736849</c:v>
                </c:pt>
                <c:pt idx="133">
                  <c:v>105.71882894736849</c:v>
                </c:pt>
                <c:pt idx="134">
                  <c:v>105.71882894736849</c:v>
                </c:pt>
                <c:pt idx="135">
                  <c:v>105.71882894736849</c:v>
                </c:pt>
                <c:pt idx="136">
                  <c:v>105.71882894736849</c:v>
                </c:pt>
                <c:pt idx="137">
                  <c:v>105.71882894736849</c:v>
                </c:pt>
                <c:pt idx="138">
                  <c:v>105.71882894736849</c:v>
                </c:pt>
                <c:pt idx="139">
                  <c:v>105.71882894736849</c:v>
                </c:pt>
                <c:pt idx="140">
                  <c:v>105.71882894736849</c:v>
                </c:pt>
                <c:pt idx="141">
                  <c:v>105.71882894736849</c:v>
                </c:pt>
                <c:pt idx="142">
                  <c:v>105.71882894736849</c:v>
                </c:pt>
                <c:pt idx="143">
                  <c:v>105.71882894736849</c:v>
                </c:pt>
                <c:pt idx="144">
                  <c:v>105.71882894736849</c:v>
                </c:pt>
                <c:pt idx="145">
                  <c:v>105.71882894736849</c:v>
                </c:pt>
                <c:pt idx="146">
                  <c:v>105.71882894736849</c:v>
                </c:pt>
                <c:pt idx="147">
                  <c:v>105.71882894736849</c:v>
                </c:pt>
                <c:pt idx="148">
                  <c:v>105.71882894736849</c:v>
                </c:pt>
                <c:pt idx="149">
                  <c:v>105.71882894736849</c:v>
                </c:pt>
                <c:pt idx="150">
                  <c:v>105.71882894736849</c:v>
                </c:pt>
                <c:pt idx="151">
                  <c:v>105.71882894736849</c:v>
                </c:pt>
                <c:pt idx="152">
                  <c:v>105.71882894736849</c:v>
                </c:pt>
                <c:pt idx="153">
                  <c:v>105.71882894736849</c:v>
                </c:pt>
                <c:pt idx="154">
                  <c:v>105.71882894736849</c:v>
                </c:pt>
                <c:pt idx="155">
                  <c:v>105.71882894736849</c:v>
                </c:pt>
                <c:pt idx="156">
                  <c:v>105.71882894736849</c:v>
                </c:pt>
                <c:pt idx="157">
                  <c:v>105.71882894736849</c:v>
                </c:pt>
                <c:pt idx="158">
                  <c:v>105.71882894736849</c:v>
                </c:pt>
                <c:pt idx="159">
                  <c:v>105.71882894736849</c:v>
                </c:pt>
                <c:pt idx="160">
                  <c:v>105.71882894736849</c:v>
                </c:pt>
                <c:pt idx="161">
                  <c:v>105.71882894736849</c:v>
                </c:pt>
                <c:pt idx="162">
                  <c:v>105.71882894736849</c:v>
                </c:pt>
                <c:pt idx="163">
                  <c:v>105.71882894736849</c:v>
                </c:pt>
                <c:pt idx="164">
                  <c:v>105.71882894736849</c:v>
                </c:pt>
                <c:pt idx="165">
                  <c:v>105.71882894736849</c:v>
                </c:pt>
                <c:pt idx="166">
                  <c:v>105.71882894736849</c:v>
                </c:pt>
                <c:pt idx="167">
                  <c:v>105.71882894736849</c:v>
                </c:pt>
                <c:pt idx="168">
                  <c:v>105.71882894736849</c:v>
                </c:pt>
                <c:pt idx="169">
                  <c:v>105.71882894736849</c:v>
                </c:pt>
                <c:pt idx="170">
                  <c:v>105.71882894736849</c:v>
                </c:pt>
                <c:pt idx="171">
                  <c:v>105.71882894736849</c:v>
                </c:pt>
                <c:pt idx="172">
                  <c:v>105.71882894736849</c:v>
                </c:pt>
                <c:pt idx="173">
                  <c:v>105.71882894736849</c:v>
                </c:pt>
                <c:pt idx="174">
                  <c:v>105.71882894736849</c:v>
                </c:pt>
                <c:pt idx="175">
                  <c:v>105.71882894736849</c:v>
                </c:pt>
                <c:pt idx="176">
                  <c:v>105.71882894736849</c:v>
                </c:pt>
                <c:pt idx="177">
                  <c:v>105.71882894736849</c:v>
                </c:pt>
                <c:pt idx="178">
                  <c:v>105.71882894736849</c:v>
                </c:pt>
                <c:pt idx="179">
                  <c:v>105.71882894736849</c:v>
                </c:pt>
                <c:pt idx="180">
                  <c:v>105.71882894736849</c:v>
                </c:pt>
                <c:pt idx="181">
                  <c:v>105.71882894736849</c:v>
                </c:pt>
                <c:pt idx="182">
                  <c:v>105.71882894736849</c:v>
                </c:pt>
                <c:pt idx="183">
                  <c:v>105.71882894736849</c:v>
                </c:pt>
                <c:pt idx="184">
                  <c:v>105.71882894736849</c:v>
                </c:pt>
                <c:pt idx="185">
                  <c:v>105.71882894736849</c:v>
                </c:pt>
                <c:pt idx="186">
                  <c:v>105.71882894736849</c:v>
                </c:pt>
                <c:pt idx="187">
                  <c:v>105.71882894736849</c:v>
                </c:pt>
                <c:pt idx="188">
                  <c:v>105.71882894736849</c:v>
                </c:pt>
                <c:pt idx="189">
                  <c:v>105.71882894736849</c:v>
                </c:pt>
                <c:pt idx="190">
                  <c:v>105.718828947368</c:v>
                </c:pt>
                <c:pt idx="191">
                  <c:v>105.718828947368</c:v>
                </c:pt>
                <c:pt idx="192">
                  <c:v>105.718828947368</c:v>
                </c:pt>
                <c:pt idx="193">
                  <c:v>105.718828947368</c:v>
                </c:pt>
                <c:pt idx="194">
                  <c:v>105.718828947368</c:v>
                </c:pt>
                <c:pt idx="195">
                  <c:v>105.718828947368</c:v>
                </c:pt>
                <c:pt idx="196">
                  <c:v>105.718828947368</c:v>
                </c:pt>
                <c:pt idx="197">
                  <c:v>105.718828947368</c:v>
                </c:pt>
                <c:pt idx="198">
                  <c:v>105.718828947368</c:v>
                </c:pt>
                <c:pt idx="199">
                  <c:v>105.718828947368</c:v>
                </c:pt>
                <c:pt idx="200">
                  <c:v>105.718828947368</c:v>
                </c:pt>
                <c:pt idx="201">
                  <c:v>105.718828947368</c:v>
                </c:pt>
                <c:pt idx="202">
                  <c:v>105.718828947368</c:v>
                </c:pt>
                <c:pt idx="203">
                  <c:v>105.718828947368</c:v>
                </c:pt>
              </c:numCache>
            </c:numRef>
          </c:val>
          <c:smooth val="0"/>
        </c:ser>
        <c:dLbls>
          <c:showLegendKey val="0"/>
          <c:showVal val="0"/>
          <c:showCatName val="0"/>
          <c:showSerName val="0"/>
          <c:showPercent val="0"/>
          <c:showBubbleSize val="0"/>
        </c:dLbls>
        <c:smooth val="0"/>
        <c:axId val="834709632"/>
        <c:axId val="834709072"/>
      </c:lineChart>
      <c:catAx>
        <c:axId val="834709632"/>
        <c:scaling>
          <c:orientation val="minMax"/>
        </c:scaling>
        <c:delete val="0"/>
        <c:axPos val="b"/>
        <c:numFmt formatCode="General" sourceLinked="1"/>
        <c:majorTickMark val="cross"/>
        <c:minorTickMark val="none"/>
        <c:tickLblPos val="nextTo"/>
        <c:spPr>
          <a:ln>
            <a:solidFill>
              <a:schemeClr val="tx1">
                <a:lumMod val="50000"/>
                <a:lumOff val="50000"/>
              </a:schemeClr>
            </a:solidFill>
          </a:ln>
        </c:spPr>
        <c:txPr>
          <a:bodyPr rot="-5400000" vert="horz"/>
          <a:lstStyle/>
          <a:p>
            <a:pPr>
              <a:defRPr sz="1400" b="0"/>
            </a:pPr>
            <a:endParaRPr lang="es-CL"/>
          </a:p>
        </c:txPr>
        <c:crossAx val="834709072"/>
        <c:crosses val="autoZero"/>
        <c:auto val="1"/>
        <c:lblAlgn val="l"/>
        <c:lblOffset val="150"/>
        <c:tickLblSkip val="12"/>
        <c:tickMarkSkip val="12"/>
        <c:noMultiLvlLbl val="1"/>
      </c:catAx>
      <c:valAx>
        <c:axId val="834709072"/>
        <c:scaling>
          <c:orientation val="minMax"/>
          <c:max val="115"/>
          <c:min val="70"/>
        </c:scaling>
        <c:delete val="0"/>
        <c:axPos val="l"/>
        <c:title>
          <c:tx>
            <c:rich>
              <a:bodyPr rot="-5400000" vert="horz"/>
              <a:lstStyle/>
              <a:p>
                <a:pPr>
                  <a:defRPr sz="1400"/>
                </a:pPr>
                <a:r>
                  <a:rPr lang="es-CL" sz="1400"/>
                  <a:t>TCR</a:t>
                </a:r>
              </a:p>
            </c:rich>
          </c:tx>
          <c:layout>
            <c:manualLayout>
              <c:xMode val="edge"/>
              <c:yMode val="edge"/>
              <c:x val="5.6508040229754303E-3"/>
              <c:y val="0.39413871279995599"/>
            </c:manualLayout>
          </c:layout>
          <c:overlay val="0"/>
        </c:title>
        <c:numFmt formatCode="0" sourceLinked="0"/>
        <c:majorTickMark val="none"/>
        <c:minorTickMark val="none"/>
        <c:tickLblPos val="nextTo"/>
        <c:spPr>
          <a:ln w="9525">
            <a:noFill/>
          </a:ln>
        </c:spPr>
        <c:txPr>
          <a:bodyPr/>
          <a:lstStyle/>
          <a:p>
            <a:pPr>
              <a:defRPr sz="1400"/>
            </a:pPr>
            <a:endParaRPr lang="es-CL"/>
          </a:p>
        </c:txPr>
        <c:crossAx val="834709632"/>
        <c:crosses val="autoZero"/>
        <c:crossBetween val="between"/>
      </c:valAx>
    </c:plotArea>
    <c:legend>
      <c:legendPos val="b"/>
      <c:layout>
        <c:manualLayout>
          <c:xMode val="edge"/>
          <c:yMode val="edge"/>
          <c:x val="0"/>
          <c:y val="0.85479372287649602"/>
          <c:w val="0.99954172960977505"/>
          <c:h val="0.14344299338379801"/>
        </c:manualLayout>
      </c:layout>
      <c:overlay val="0"/>
      <c:txPr>
        <a:bodyPr/>
        <a:lstStyle/>
        <a:p>
          <a:pPr>
            <a:defRPr sz="1200"/>
          </a:pPr>
          <a:endParaRPr lang="es-CL"/>
        </a:p>
      </c:txPr>
    </c:legend>
    <c:plotVisOnly val="1"/>
    <c:dispBlanksAs val="gap"/>
    <c:showDLblsOverMax val="0"/>
  </c:chart>
  <c:spPr>
    <a:ln>
      <a:solidFill>
        <a:schemeClr val="tx1">
          <a:lumMod val="50000"/>
          <a:lumOff val="50000"/>
        </a:schemeClr>
      </a:solidFill>
    </a:ln>
  </c:spPr>
  <c:txPr>
    <a:bodyPr/>
    <a:lstStyle/>
    <a:p>
      <a:pPr>
        <a:defRPr>
          <a:latin typeface="Times New Roman" pitchFamily="18" charset="0"/>
          <a:cs typeface="Times New Roman" pitchFamily="18" charset="0"/>
        </a:defRPr>
      </a:pPr>
      <a:endParaRPr lang="es-C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48196857430398E-2"/>
          <c:y val="4.1364381297680497E-2"/>
          <c:w val="0.90758180963863799"/>
          <c:h val="0.81577887122633397"/>
        </c:manualLayout>
      </c:layout>
      <c:lineChart>
        <c:grouping val="standard"/>
        <c:varyColors val="0"/>
        <c:ser>
          <c:idx val="0"/>
          <c:order val="0"/>
          <c:tx>
            <c:strRef>
              <c:f>Anual!$E$6</c:f>
              <c:strCache>
                <c:ptCount val="1"/>
                <c:pt idx="0">
                  <c:v>Chile</c:v>
                </c:pt>
              </c:strCache>
            </c:strRef>
          </c:tx>
          <c:marker>
            <c:symbol val="none"/>
          </c:marker>
          <c:cat>
            <c:numRef>
              <c:f>Anual!$D$7:$D$9</c:f>
              <c:numCache>
                <c:formatCode>General</c:formatCode>
                <c:ptCount val="3"/>
                <c:pt idx="0">
                  <c:v>2013</c:v>
                </c:pt>
                <c:pt idx="1">
                  <c:v>2014</c:v>
                </c:pt>
                <c:pt idx="2">
                  <c:v>2015</c:v>
                </c:pt>
              </c:numCache>
            </c:numRef>
          </c:cat>
          <c:val>
            <c:numRef>
              <c:f>Anual!$E$7:$E$9</c:f>
              <c:numCache>
                <c:formatCode>0.0%</c:formatCode>
                <c:ptCount val="3"/>
                <c:pt idx="0">
                  <c:v>0.04</c:v>
                </c:pt>
                <c:pt idx="1">
                  <c:v>1.9E-2</c:v>
                </c:pt>
                <c:pt idx="2">
                  <c:v>2.3E-2</c:v>
                </c:pt>
              </c:numCache>
            </c:numRef>
          </c:val>
          <c:smooth val="0"/>
        </c:ser>
        <c:ser>
          <c:idx val="1"/>
          <c:order val="1"/>
          <c:tx>
            <c:strRef>
              <c:f>Anual!$F$6</c:f>
              <c:strCache>
                <c:ptCount val="1"/>
                <c:pt idx="0">
                  <c:v>AL (19)</c:v>
                </c:pt>
              </c:strCache>
            </c:strRef>
          </c:tx>
          <c:marker>
            <c:symbol val="none"/>
          </c:marker>
          <c:cat>
            <c:numRef>
              <c:f>Anual!$D$7:$D$9</c:f>
              <c:numCache>
                <c:formatCode>General</c:formatCode>
                <c:ptCount val="3"/>
                <c:pt idx="0">
                  <c:v>2013</c:v>
                </c:pt>
                <c:pt idx="1">
                  <c:v>2014</c:v>
                </c:pt>
                <c:pt idx="2">
                  <c:v>2015</c:v>
                </c:pt>
              </c:numCache>
            </c:numRef>
          </c:cat>
          <c:val>
            <c:numRef>
              <c:f>Anual!$F$7:$F$9</c:f>
              <c:numCache>
                <c:formatCode>0.0%</c:formatCode>
                <c:ptCount val="3"/>
                <c:pt idx="0">
                  <c:v>2.9282556652366402E-2</c:v>
                </c:pt>
                <c:pt idx="1">
                  <c:v>9.2407897296421897E-3</c:v>
                </c:pt>
                <c:pt idx="2">
                  <c:v>-4.5599829291591799E-3</c:v>
                </c:pt>
              </c:numCache>
            </c:numRef>
          </c:val>
          <c:smooth val="0"/>
        </c:ser>
        <c:ser>
          <c:idx val="2"/>
          <c:order val="2"/>
          <c:tx>
            <c:strRef>
              <c:f>Anual!$G$6</c:f>
              <c:strCache>
                <c:ptCount val="1"/>
                <c:pt idx="0">
                  <c:v>AL excl Brasil</c:v>
                </c:pt>
              </c:strCache>
            </c:strRef>
          </c:tx>
          <c:marker>
            <c:symbol val="none"/>
          </c:marker>
          <c:cat>
            <c:numRef>
              <c:f>Anual!$D$7:$D$9</c:f>
              <c:numCache>
                <c:formatCode>General</c:formatCode>
                <c:ptCount val="3"/>
                <c:pt idx="0">
                  <c:v>2013</c:v>
                </c:pt>
                <c:pt idx="1">
                  <c:v>2014</c:v>
                </c:pt>
                <c:pt idx="2">
                  <c:v>2015</c:v>
                </c:pt>
              </c:numCache>
            </c:numRef>
          </c:cat>
          <c:val>
            <c:numRef>
              <c:f>Anual!$G$7:$G$9</c:f>
              <c:numCache>
                <c:formatCode>0.0%</c:formatCode>
                <c:ptCount val="3"/>
                <c:pt idx="0">
                  <c:v>2.8610594299174001E-2</c:v>
                </c:pt>
                <c:pt idx="1">
                  <c:v>1.5608571643819701E-2</c:v>
                </c:pt>
                <c:pt idx="2">
                  <c:v>1.2081259141318501E-2</c:v>
                </c:pt>
              </c:numCache>
            </c:numRef>
          </c:val>
          <c:smooth val="0"/>
        </c:ser>
        <c:dLbls>
          <c:showLegendKey val="0"/>
          <c:showVal val="0"/>
          <c:showCatName val="0"/>
          <c:showSerName val="0"/>
          <c:showPercent val="0"/>
          <c:showBubbleSize val="0"/>
        </c:dLbls>
        <c:smooth val="0"/>
        <c:axId val="919456816"/>
        <c:axId val="919459056"/>
      </c:lineChart>
      <c:catAx>
        <c:axId val="919456816"/>
        <c:scaling>
          <c:orientation val="minMax"/>
        </c:scaling>
        <c:delete val="0"/>
        <c:axPos val="b"/>
        <c:numFmt formatCode="General" sourceLinked="1"/>
        <c:majorTickMark val="out"/>
        <c:minorTickMark val="none"/>
        <c:tickLblPos val="nextTo"/>
        <c:txPr>
          <a:bodyPr/>
          <a:lstStyle/>
          <a:p>
            <a:pPr>
              <a:defRPr sz="1200"/>
            </a:pPr>
            <a:endParaRPr lang="es-CL"/>
          </a:p>
        </c:txPr>
        <c:crossAx val="919459056"/>
        <c:crosses val="autoZero"/>
        <c:auto val="1"/>
        <c:lblAlgn val="ctr"/>
        <c:lblOffset val="100"/>
        <c:noMultiLvlLbl val="0"/>
      </c:catAx>
      <c:valAx>
        <c:axId val="919459056"/>
        <c:scaling>
          <c:orientation val="minMax"/>
        </c:scaling>
        <c:delete val="0"/>
        <c:axPos val="l"/>
        <c:majorGridlines/>
        <c:numFmt formatCode="0.0%" sourceLinked="1"/>
        <c:majorTickMark val="out"/>
        <c:minorTickMark val="none"/>
        <c:tickLblPos val="nextTo"/>
        <c:crossAx val="919456816"/>
        <c:crosses val="autoZero"/>
        <c:crossBetween val="between"/>
      </c:valAx>
    </c:plotArea>
    <c:legend>
      <c:legendPos val="r"/>
      <c:layout>
        <c:manualLayout>
          <c:xMode val="edge"/>
          <c:yMode val="edge"/>
          <c:x val="9.1039409279542696E-2"/>
          <c:y val="0.90606136354167899"/>
          <c:w val="0.765961171743612"/>
          <c:h val="9.2112973057854902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359859551665902E-2"/>
          <c:y val="0.124581657968347"/>
          <c:w val="0.83502052887526101"/>
          <c:h val="0.59932042882953696"/>
        </c:manualLayout>
      </c:layout>
      <c:lineChart>
        <c:grouping val="standard"/>
        <c:varyColors val="0"/>
        <c:ser>
          <c:idx val="0"/>
          <c:order val="0"/>
          <c:tx>
            <c:strRef>
              <c:f>'Mismo día'!$C$3</c:f>
              <c:strCache>
                <c:ptCount val="1"/>
                <c:pt idx="0">
                  <c:v>Exchange Rate</c:v>
                </c:pt>
              </c:strCache>
            </c:strRef>
          </c:tx>
          <c:marker>
            <c:symbol val="none"/>
          </c:marker>
          <c:cat>
            <c:numRef>
              <c:f>'Mismo día'!$A$4:$A$327</c:f>
              <c:numCache>
                <c:formatCode>mm\.dd\.yyyy</c:formatCode>
                <c:ptCount val="324"/>
                <c:pt idx="0">
                  <c:v>42006</c:v>
                </c:pt>
                <c:pt idx="1">
                  <c:v>42009</c:v>
                </c:pt>
                <c:pt idx="2">
                  <c:v>42010</c:v>
                </c:pt>
                <c:pt idx="3">
                  <c:v>42011</c:v>
                </c:pt>
                <c:pt idx="4">
                  <c:v>42012</c:v>
                </c:pt>
                <c:pt idx="5">
                  <c:v>42013</c:v>
                </c:pt>
                <c:pt idx="6">
                  <c:v>42016</c:v>
                </c:pt>
                <c:pt idx="7">
                  <c:v>42017</c:v>
                </c:pt>
                <c:pt idx="8">
                  <c:v>42018</c:v>
                </c:pt>
                <c:pt idx="9">
                  <c:v>42019</c:v>
                </c:pt>
                <c:pt idx="10">
                  <c:v>42020</c:v>
                </c:pt>
                <c:pt idx="11">
                  <c:v>42023</c:v>
                </c:pt>
                <c:pt idx="12">
                  <c:v>42024</c:v>
                </c:pt>
                <c:pt idx="13">
                  <c:v>42025</c:v>
                </c:pt>
                <c:pt idx="14">
                  <c:v>42026</c:v>
                </c:pt>
                <c:pt idx="15">
                  <c:v>42027</c:v>
                </c:pt>
                <c:pt idx="16">
                  <c:v>42030</c:v>
                </c:pt>
                <c:pt idx="17">
                  <c:v>42031</c:v>
                </c:pt>
                <c:pt idx="18">
                  <c:v>42032</c:v>
                </c:pt>
                <c:pt idx="19">
                  <c:v>42033</c:v>
                </c:pt>
                <c:pt idx="20">
                  <c:v>42034</c:v>
                </c:pt>
                <c:pt idx="21">
                  <c:v>42037</c:v>
                </c:pt>
                <c:pt idx="22">
                  <c:v>42038</c:v>
                </c:pt>
                <c:pt idx="23">
                  <c:v>42039</c:v>
                </c:pt>
                <c:pt idx="24">
                  <c:v>42040</c:v>
                </c:pt>
                <c:pt idx="25">
                  <c:v>42041</c:v>
                </c:pt>
                <c:pt idx="26">
                  <c:v>42044</c:v>
                </c:pt>
                <c:pt idx="27">
                  <c:v>42045</c:v>
                </c:pt>
                <c:pt idx="28">
                  <c:v>42046</c:v>
                </c:pt>
                <c:pt idx="29">
                  <c:v>42047</c:v>
                </c:pt>
                <c:pt idx="30">
                  <c:v>42048</c:v>
                </c:pt>
                <c:pt idx="31">
                  <c:v>42051</c:v>
                </c:pt>
                <c:pt idx="32">
                  <c:v>42052</c:v>
                </c:pt>
                <c:pt idx="33">
                  <c:v>42053</c:v>
                </c:pt>
                <c:pt idx="34">
                  <c:v>42054</c:v>
                </c:pt>
                <c:pt idx="35">
                  <c:v>42055</c:v>
                </c:pt>
                <c:pt idx="36">
                  <c:v>42058</c:v>
                </c:pt>
                <c:pt idx="37">
                  <c:v>42059</c:v>
                </c:pt>
                <c:pt idx="38">
                  <c:v>42060</c:v>
                </c:pt>
                <c:pt idx="39">
                  <c:v>42061</c:v>
                </c:pt>
                <c:pt idx="40">
                  <c:v>42062</c:v>
                </c:pt>
                <c:pt idx="41">
                  <c:v>42065</c:v>
                </c:pt>
                <c:pt idx="42">
                  <c:v>42066</c:v>
                </c:pt>
                <c:pt idx="43">
                  <c:v>42067</c:v>
                </c:pt>
                <c:pt idx="44">
                  <c:v>42068</c:v>
                </c:pt>
                <c:pt idx="45">
                  <c:v>42069</c:v>
                </c:pt>
                <c:pt idx="46">
                  <c:v>42072</c:v>
                </c:pt>
                <c:pt idx="47">
                  <c:v>42073</c:v>
                </c:pt>
                <c:pt idx="48">
                  <c:v>42074</c:v>
                </c:pt>
                <c:pt idx="49">
                  <c:v>42075</c:v>
                </c:pt>
                <c:pt idx="50">
                  <c:v>42076</c:v>
                </c:pt>
                <c:pt idx="51">
                  <c:v>42079</c:v>
                </c:pt>
                <c:pt idx="52">
                  <c:v>42080</c:v>
                </c:pt>
                <c:pt idx="53">
                  <c:v>42081</c:v>
                </c:pt>
                <c:pt idx="54">
                  <c:v>42082</c:v>
                </c:pt>
                <c:pt idx="55">
                  <c:v>42083</c:v>
                </c:pt>
                <c:pt idx="56">
                  <c:v>42086</c:v>
                </c:pt>
                <c:pt idx="57">
                  <c:v>42087</c:v>
                </c:pt>
                <c:pt idx="58">
                  <c:v>42088</c:v>
                </c:pt>
                <c:pt idx="59">
                  <c:v>42089</c:v>
                </c:pt>
                <c:pt idx="60">
                  <c:v>42090</c:v>
                </c:pt>
                <c:pt idx="61">
                  <c:v>42093</c:v>
                </c:pt>
                <c:pt idx="62">
                  <c:v>42094</c:v>
                </c:pt>
                <c:pt idx="63">
                  <c:v>42095</c:v>
                </c:pt>
                <c:pt idx="64">
                  <c:v>42096</c:v>
                </c:pt>
                <c:pt idx="65">
                  <c:v>42101</c:v>
                </c:pt>
                <c:pt idx="66">
                  <c:v>42102</c:v>
                </c:pt>
                <c:pt idx="67">
                  <c:v>42103</c:v>
                </c:pt>
                <c:pt idx="68">
                  <c:v>42104</c:v>
                </c:pt>
                <c:pt idx="69">
                  <c:v>42107</c:v>
                </c:pt>
                <c:pt idx="70">
                  <c:v>42108</c:v>
                </c:pt>
                <c:pt idx="71">
                  <c:v>42109</c:v>
                </c:pt>
                <c:pt idx="72">
                  <c:v>42110</c:v>
                </c:pt>
                <c:pt idx="73">
                  <c:v>42111</c:v>
                </c:pt>
                <c:pt idx="74">
                  <c:v>42114</c:v>
                </c:pt>
                <c:pt idx="75">
                  <c:v>42115</c:v>
                </c:pt>
                <c:pt idx="76">
                  <c:v>42116</c:v>
                </c:pt>
                <c:pt idx="77">
                  <c:v>42117</c:v>
                </c:pt>
                <c:pt idx="78">
                  <c:v>42118</c:v>
                </c:pt>
                <c:pt idx="79">
                  <c:v>42121</c:v>
                </c:pt>
                <c:pt idx="80">
                  <c:v>42122</c:v>
                </c:pt>
                <c:pt idx="81">
                  <c:v>42123</c:v>
                </c:pt>
                <c:pt idx="82">
                  <c:v>42124</c:v>
                </c:pt>
                <c:pt idx="83">
                  <c:v>42128</c:v>
                </c:pt>
                <c:pt idx="84">
                  <c:v>42129</c:v>
                </c:pt>
                <c:pt idx="85">
                  <c:v>42130</c:v>
                </c:pt>
                <c:pt idx="86">
                  <c:v>42131</c:v>
                </c:pt>
                <c:pt idx="87">
                  <c:v>42132</c:v>
                </c:pt>
                <c:pt idx="88">
                  <c:v>42135</c:v>
                </c:pt>
                <c:pt idx="89">
                  <c:v>42136</c:v>
                </c:pt>
                <c:pt idx="90">
                  <c:v>42137</c:v>
                </c:pt>
                <c:pt idx="91">
                  <c:v>42138</c:v>
                </c:pt>
                <c:pt idx="92">
                  <c:v>42139</c:v>
                </c:pt>
                <c:pt idx="93">
                  <c:v>42142</c:v>
                </c:pt>
                <c:pt idx="94">
                  <c:v>42143</c:v>
                </c:pt>
                <c:pt idx="95">
                  <c:v>42144</c:v>
                </c:pt>
                <c:pt idx="96">
                  <c:v>42146</c:v>
                </c:pt>
                <c:pt idx="97">
                  <c:v>42150</c:v>
                </c:pt>
                <c:pt idx="98">
                  <c:v>42151</c:v>
                </c:pt>
                <c:pt idx="99">
                  <c:v>42152</c:v>
                </c:pt>
                <c:pt idx="100">
                  <c:v>42153</c:v>
                </c:pt>
                <c:pt idx="101">
                  <c:v>42156</c:v>
                </c:pt>
                <c:pt idx="102">
                  <c:v>42157</c:v>
                </c:pt>
                <c:pt idx="103">
                  <c:v>42158</c:v>
                </c:pt>
                <c:pt idx="104">
                  <c:v>42159</c:v>
                </c:pt>
                <c:pt idx="105">
                  <c:v>42160</c:v>
                </c:pt>
                <c:pt idx="106">
                  <c:v>42163</c:v>
                </c:pt>
                <c:pt idx="107">
                  <c:v>42164</c:v>
                </c:pt>
                <c:pt idx="108">
                  <c:v>42165</c:v>
                </c:pt>
                <c:pt idx="109">
                  <c:v>42166</c:v>
                </c:pt>
                <c:pt idx="110">
                  <c:v>42167</c:v>
                </c:pt>
                <c:pt idx="111">
                  <c:v>42170</c:v>
                </c:pt>
                <c:pt idx="112">
                  <c:v>42171</c:v>
                </c:pt>
                <c:pt idx="113">
                  <c:v>42172</c:v>
                </c:pt>
                <c:pt idx="114">
                  <c:v>42173</c:v>
                </c:pt>
                <c:pt idx="115">
                  <c:v>42174</c:v>
                </c:pt>
                <c:pt idx="116">
                  <c:v>42177</c:v>
                </c:pt>
                <c:pt idx="117">
                  <c:v>42178</c:v>
                </c:pt>
                <c:pt idx="118">
                  <c:v>42179</c:v>
                </c:pt>
                <c:pt idx="119">
                  <c:v>42180</c:v>
                </c:pt>
                <c:pt idx="120">
                  <c:v>42181</c:v>
                </c:pt>
                <c:pt idx="121">
                  <c:v>42185</c:v>
                </c:pt>
                <c:pt idx="122">
                  <c:v>42186</c:v>
                </c:pt>
                <c:pt idx="123">
                  <c:v>42187</c:v>
                </c:pt>
                <c:pt idx="124">
                  <c:v>42188</c:v>
                </c:pt>
                <c:pt idx="125">
                  <c:v>42191</c:v>
                </c:pt>
                <c:pt idx="126">
                  <c:v>42192</c:v>
                </c:pt>
                <c:pt idx="127">
                  <c:v>42193</c:v>
                </c:pt>
                <c:pt idx="128">
                  <c:v>42194</c:v>
                </c:pt>
                <c:pt idx="129">
                  <c:v>42195</c:v>
                </c:pt>
                <c:pt idx="130">
                  <c:v>42198</c:v>
                </c:pt>
                <c:pt idx="131">
                  <c:v>42199</c:v>
                </c:pt>
                <c:pt idx="132">
                  <c:v>42200</c:v>
                </c:pt>
                <c:pt idx="133">
                  <c:v>42202</c:v>
                </c:pt>
                <c:pt idx="134">
                  <c:v>42205</c:v>
                </c:pt>
                <c:pt idx="135">
                  <c:v>42206</c:v>
                </c:pt>
                <c:pt idx="136">
                  <c:v>42207</c:v>
                </c:pt>
                <c:pt idx="137">
                  <c:v>42208</c:v>
                </c:pt>
                <c:pt idx="138">
                  <c:v>42209</c:v>
                </c:pt>
                <c:pt idx="139">
                  <c:v>42212</c:v>
                </c:pt>
                <c:pt idx="140">
                  <c:v>42213</c:v>
                </c:pt>
                <c:pt idx="141">
                  <c:v>42214</c:v>
                </c:pt>
                <c:pt idx="142">
                  <c:v>42215</c:v>
                </c:pt>
                <c:pt idx="143">
                  <c:v>42216</c:v>
                </c:pt>
                <c:pt idx="144">
                  <c:v>42219</c:v>
                </c:pt>
                <c:pt idx="145">
                  <c:v>42220</c:v>
                </c:pt>
                <c:pt idx="146">
                  <c:v>42221</c:v>
                </c:pt>
                <c:pt idx="147">
                  <c:v>42222</c:v>
                </c:pt>
                <c:pt idx="148">
                  <c:v>42223</c:v>
                </c:pt>
                <c:pt idx="149">
                  <c:v>42226</c:v>
                </c:pt>
                <c:pt idx="150">
                  <c:v>42227</c:v>
                </c:pt>
                <c:pt idx="151">
                  <c:v>42228</c:v>
                </c:pt>
                <c:pt idx="152">
                  <c:v>42229</c:v>
                </c:pt>
                <c:pt idx="153">
                  <c:v>42230</c:v>
                </c:pt>
                <c:pt idx="154">
                  <c:v>42233</c:v>
                </c:pt>
                <c:pt idx="155">
                  <c:v>42234</c:v>
                </c:pt>
                <c:pt idx="156">
                  <c:v>42235</c:v>
                </c:pt>
                <c:pt idx="157">
                  <c:v>42236</c:v>
                </c:pt>
                <c:pt idx="158">
                  <c:v>42237</c:v>
                </c:pt>
                <c:pt idx="159">
                  <c:v>42240</c:v>
                </c:pt>
                <c:pt idx="160">
                  <c:v>42241</c:v>
                </c:pt>
                <c:pt idx="161">
                  <c:v>42242</c:v>
                </c:pt>
                <c:pt idx="162">
                  <c:v>42243</c:v>
                </c:pt>
                <c:pt idx="163">
                  <c:v>42244</c:v>
                </c:pt>
                <c:pt idx="164">
                  <c:v>42248</c:v>
                </c:pt>
                <c:pt idx="165">
                  <c:v>42249</c:v>
                </c:pt>
                <c:pt idx="166">
                  <c:v>42250</c:v>
                </c:pt>
                <c:pt idx="167">
                  <c:v>42251</c:v>
                </c:pt>
                <c:pt idx="168">
                  <c:v>42254</c:v>
                </c:pt>
                <c:pt idx="169">
                  <c:v>42255</c:v>
                </c:pt>
                <c:pt idx="170">
                  <c:v>42256</c:v>
                </c:pt>
                <c:pt idx="171">
                  <c:v>42257</c:v>
                </c:pt>
                <c:pt idx="172">
                  <c:v>42258</c:v>
                </c:pt>
                <c:pt idx="173">
                  <c:v>42261</c:v>
                </c:pt>
                <c:pt idx="174">
                  <c:v>42262</c:v>
                </c:pt>
                <c:pt idx="175">
                  <c:v>42263</c:v>
                </c:pt>
                <c:pt idx="176">
                  <c:v>42264</c:v>
                </c:pt>
                <c:pt idx="177">
                  <c:v>42268</c:v>
                </c:pt>
                <c:pt idx="178">
                  <c:v>42269</c:v>
                </c:pt>
                <c:pt idx="179">
                  <c:v>42270</c:v>
                </c:pt>
                <c:pt idx="180">
                  <c:v>42271</c:v>
                </c:pt>
                <c:pt idx="181">
                  <c:v>42272</c:v>
                </c:pt>
                <c:pt idx="182">
                  <c:v>42275</c:v>
                </c:pt>
                <c:pt idx="183">
                  <c:v>42276</c:v>
                </c:pt>
                <c:pt idx="184">
                  <c:v>42277</c:v>
                </c:pt>
                <c:pt idx="185">
                  <c:v>42278</c:v>
                </c:pt>
                <c:pt idx="186">
                  <c:v>42279</c:v>
                </c:pt>
                <c:pt idx="187">
                  <c:v>42282</c:v>
                </c:pt>
                <c:pt idx="188">
                  <c:v>42283</c:v>
                </c:pt>
                <c:pt idx="189">
                  <c:v>42284</c:v>
                </c:pt>
                <c:pt idx="190">
                  <c:v>42285</c:v>
                </c:pt>
                <c:pt idx="191">
                  <c:v>42286</c:v>
                </c:pt>
                <c:pt idx="192">
                  <c:v>42290</c:v>
                </c:pt>
                <c:pt idx="193">
                  <c:v>42291</c:v>
                </c:pt>
                <c:pt idx="194">
                  <c:v>42292</c:v>
                </c:pt>
                <c:pt idx="195">
                  <c:v>42293</c:v>
                </c:pt>
                <c:pt idx="196">
                  <c:v>42296</c:v>
                </c:pt>
                <c:pt idx="197">
                  <c:v>42297</c:v>
                </c:pt>
                <c:pt idx="198">
                  <c:v>42298</c:v>
                </c:pt>
                <c:pt idx="199">
                  <c:v>42299</c:v>
                </c:pt>
                <c:pt idx="200">
                  <c:v>42300</c:v>
                </c:pt>
                <c:pt idx="201">
                  <c:v>42303</c:v>
                </c:pt>
                <c:pt idx="202">
                  <c:v>42304</c:v>
                </c:pt>
                <c:pt idx="203">
                  <c:v>42305</c:v>
                </c:pt>
                <c:pt idx="204">
                  <c:v>42306</c:v>
                </c:pt>
                <c:pt idx="205">
                  <c:v>42307</c:v>
                </c:pt>
                <c:pt idx="206">
                  <c:v>42310</c:v>
                </c:pt>
                <c:pt idx="207">
                  <c:v>42311</c:v>
                </c:pt>
                <c:pt idx="208">
                  <c:v>42312</c:v>
                </c:pt>
                <c:pt idx="209">
                  <c:v>42313</c:v>
                </c:pt>
                <c:pt idx="210">
                  <c:v>42314</c:v>
                </c:pt>
                <c:pt idx="211">
                  <c:v>42317</c:v>
                </c:pt>
                <c:pt idx="212">
                  <c:v>42318</c:v>
                </c:pt>
                <c:pt idx="213">
                  <c:v>42319</c:v>
                </c:pt>
                <c:pt idx="214">
                  <c:v>42320</c:v>
                </c:pt>
                <c:pt idx="215">
                  <c:v>42321</c:v>
                </c:pt>
                <c:pt idx="216">
                  <c:v>42324</c:v>
                </c:pt>
                <c:pt idx="217">
                  <c:v>42325</c:v>
                </c:pt>
                <c:pt idx="218">
                  <c:v>42326</c:v>
                </c:pt>
                <c:pt idx="219">
                  <c:v>42327</c:v>
                </c:pt>
                <c:pt idx="220">
                  <c:v>42328</c:v>
                </c:pt>
                <c:pt idx="221">
                  <c:v>42331</c:v>
                </c:pt>
                <c:pt idx="222">
                  <c:v>42332</c:v>
                </c:pt>
                <c:pt idx="223">
                  <c:v>42333</c:v>
                </c:pt>
                <c:pt idx="224">
                  <c:v>42334</c:v>
                </c:pt>
                <c:pt idx="225">
                  <c:v>42335</c:v>
                </c:pt>
                <c:pt idx="226">
                  <c:v>42338</c:v>
                </c:pt>
                <c:pt idx="227">
                  <c:v>42339</c:v>
                </c:pt>
                <c:pt idx="228">
                  <c:v>42340</c:v>
                </c:pt>
                <c:pt idx="229">
                  <c:v>42341</c:v>
                </c:pt>
                <c:pt idx="230">
                  <c:v>42342</c:v>
                </c:pt>
                <c:pt idx="231">
                  <c:v>42345</c:v>
                </c:pt>
                <c:pt idx="232">
                  <c:v>42347</c:v>
                </c:pt>
                <c:pt idx="233">
                  <c:v>42348</c:v>
                </c:pt>
                <c:pt idx="234">
                  <c:v>42349</c:v>
                </c:pt>
                <c:pt idx="235">
                  <c:v>42352</c:v>
                </c:pt>
                <c:pt idx="236">
                  <c:v>42353</c:v>
                </c:pt>
                <c:pt idx="237">
                  <c:v>42354</c:v>
                </c:pt>
                <c:pt idx="238">
                  <c:v>42355</c:v>
                </c:pt>
                <c:pt idx="239">
                  <c:v>42356</c:v>
                </c:pt>
                <c:pt idx="240">
                  <c:v>42359</c:v>
                </c:pt>
                <c:pt idx="241">
                  <c:v>42360</c:v>
                </c:pt>
                <c:pt idx="242">
                  <c:v>42361</c:v>
                </c:pt>
                <c:pt idx="243">
                  <c:v>42362</c:v>
                </c:pt>
                <c:pt idx="244">
                  <c:v>42367</c:v>
                </c:pt>
                <c:pt idx="245">
                  <c:v>42368</c:v>
                </c:pt>
                <c:pt idx="246">
                  <c:v>42373</c:v>
                </c:pt>
                <c:pt idx="247">
                  <c:v>42374</c:v>
                </c:pt>
                <c:pt idx="248">
                  <c:v>42375</c:v>
                </c:pt>
                <c:pt idx="249">
                  <c:v>42376</c:v>
                </c:pt>
                <c:pt idx="250">
                  <c:v>42377</c:v>
                </c:pt>
                <c:pt idx="251">
                  <c:v>42380</c:v>
                </c:pt>
                <c:pt idx="252">
                  <c:v>42381</c:v>
                </c:pt>
                <c:pt idx="253">
                  <c:v>42382</c:v>
                </c:pt>
                <c:pt idx="254">
                  <c:v>42383</c:v>
                </c:pt>
                <c:pt idx="255">
                  <c:v>42384</c:v>
                </c:pt>
                <c:pt idx="256">
                  <c:v>42387</c:v>
                </c:pt>
                <c:pt idx="257">
                  <c:v>42388</c:v>
                </c:pt>
                <c:pt idx="258">
                  <c:v>42389</c:v>
                </c:pt>
                <c:pt idx="259">
                  <c:v>42390</c:v>
                </c:pt>
                <c:pt idx="260">
                  <c:v>42391</c:v>
                </c:pt>
                <c:pt idx="261">
                  <c:v>42394</c:v>
                </c:pt>
                <c:pt idx="262">
                  <c:v>42395</c:v>
                </c:pt>
                <c:pt idx="263">
                  <c:v>42396</c:v>
                </c:pt>
                <c:pt idx="264">
                  <c:v>42397</c:v>
                </c:pt>
                <c:pt idx="265">
                  <c:v>42398</c:v>
                </c:pt>
                <c:pt idx="266">
                  <c:v>42401</c:v>
                </c:pt>
                <c:pt idx="267">
                  <c:v>42402</c:v>
                </c:pt>
                <c:pt idx="268">
                  <c:v>42403</c:v>
                </c:pt>
                <c:pt idx="269">
                  <c:v>42404</c:v>
                </c:pt>
                <c:pt idx="270">
                  <c:v>42405</c:v>
                </c:pt>
                <c:pt idx="271">
                  <c:v>42408</c:v>
                </c:pt>
                <c:pt idx="272">
                  <c:v>42409</c:v>
                </c:pt>
                <c:pt idx="273">
                  <c:v>42410</c:v>
                </c:pt>
                <c:pt idx="274">
                  <c:v>42411</c:v>
                </c:pt>
                <c:pt idx="275">
                  <c:v>42412</c:v>
                </c:pt>
                <c:pt idx="276">
                  <c:v>42415</c:v>
                </c:pt>
                <c:pt idx="277">
                  <c:v>42416</c:v>
                </c:pt>
                <c:pt idx="278">
                  <c:v>42417</c:v>
                </c:pt>
                <c:pt idx="279">
                  <c:v>42418</c:v>
                </c:pt>
                <c:pt idx="280">
                  <c:v>42419</c:v>
                </c:pt>
                <c:pt idx="281">
                  <c:v>42422</c:v>
                </c:pt>
                <c:pt idx="282">
                  <c:v>42423</c:v>
                </c:pt>
                <c:pt idx="283">
                  <c:v>42424</c:v>
                </c:pt>
                <c:pt idx="284">
                  <c:v>42425</c:v>
                </c:pt>
                <c:pt idx="285">
                  <c:v>42426</c:v>
                </c:pt>
                <c:pt idx="286">
                  <c:v>42429</c:v>
                </c:pt>
                <c:pt idx="287">
                  <c:v>42430</c:v>
                </c:pt>
                <c:pt idx="288">
                  <c:v>42431</c:v>
                </c:pt>
                <c:pt idx="289">
                  <c:v>42432</c:v>
                </c:pt>
                <c:pt idx="290">
                  <c:v>42433</c:v>
                </c:pt>
                <c:pt idx="291">
                  <c:v>42436</c:v>
                </c:pt>
                <c:pt idx="292">
                  <c:v>42437</c:v>
                </c:pt>
                <c:pt idx="293">
                  <c:v>42438</c:v>
                </c:pt>
                <c:pt idx="294">
                  <c:v>42439</c:v>
                </c:pt>
                <c:pt idx="295">
                  <c:v>42440</c:v>
                </c:pt>
                <c:pt idx="296">
                  <c:v>42443</c:v>
                </c:pt>
                <c:pt idx="297">
                  <c:v>42444</c:v>
                </c:pt>
                <c:pt idx="298">
                  <c:v>42445</c:v>
                </c:pt>
                <c:pt idx="299">
                  <c:v>42446</c:v>
                </c:pt>
                <c:pt idx="300">
                  <c:v>42447</c:v>
                </c:pt>
                <c:pt idx="301">
                  <c:v>42450</c:v>
                </c:pt>
                <c:pt idx="302">
                  <c:v>42451</c:v>
                </c:pt>
                <c:pt idx="303">
                  <c:v>42452</c:v>
                </c:pt>
                <c:pt idx="304">
                  <c:v>42453</c:v>
                </c:pt>
                <c:pt idx="305">
                  <c:v>42458</c:v>
                </c:pt>
                <c:pt idx="306">
                  <c:v>42459</c:v>
                </c:pt>
                <c:pt idx="307">
                  <c:v>42460</c:v>
                </c:pt>
                <c:pt idx="308">
                  <c:v>42461</c:v>
                </c:pt>
                <c:pt idx="309">
                  <c:v>42464</c:v>
                </c:pt>
                <c:pt idx="310">
                  <c:v>42465</c:v>
                </c:pt>
                <c:pt idx="311">
                  <c:v>42466</c:v>
                </c:pt>
                <c:pt idx="312">
                  <c:v>42467</c:v>
                </c:pt>
                <c:pt idx="313">
                  <c:v>42468</c:v>
                </c:pt>
                <c:pt idx="314">
                  <c:v>42471</c:v>
                </c:pt>
                <c:pt idx="315">
                  <c:v>42472</c:v>
                </c:pt>
                <c:pt idx="316">
                  <c:v>42473</c:v>
                </c:pt>
                <c:pt idx="317">
                  <c:v>42474</c:v>
                </c:pt>
                <c:pt idx="318">
                  <c:v>42475</c:v>
                </c:pt>
                <c:pt idx="319">
                  <c:v>42478</c:v>
                </c:pt>
                <c:pt idx="320">
                  <c:v>42479</c:v>
                </c:pt>
                <c:pt idx="321">
                  <c:v>42480</c:v>
                </c:pt>
                <c:pt idx="322">
                  <c:v>42481</c:v>
                </c:pt>
                <c:pt idx="323">
                  <c:v>42482</c:v>
                </c:pt>
              </c:numCache>
            </c:numRef>
          </c:cat>
          <c:val>
            <c:numRef>
              <c:f>'Mismo día'!$C$4:$C$327</c:f>
              <c:numCache>
                <c:formatCode>#,##0</c:formatCode>
                <c:ptCount val="324"/>
                <c:pt idx="0">
                  <c:v>606.75</c:v>
                </c:pt>
                <c:pt idx="1">
                  <c:v>612.47</c:v>
                </c:pt>
                <c:pt idx="2">
                  <c:v>616.76</c:v>
                </c:pt>
                <c:pt idx="3">
                  <c:v>616.09</c:v>
                </c:pt>
                <c:pt idx="4">
                  <c:v>614.76</c:v>
                </c:pt>
                <c:pt idx="5">
                  <c:v>613.08000000000004</c:v>
                </c:pt>
                <c:pt idx="6">
                  <c:v>614.03</c:v>
                </c:pt>
                <c:pt idx="7">
                  <c:v>616.52</c:v>
                </c:pt>
                <c:pt idx="8">
                  <c:v>617.53</c:v>
                </c:pt>
                <c:pt idx="9">
                  <c:v>625.38</c:v>
                </c:pt>
                <c:pt idx="10">
                  <c:v>623.66999999999996</c:v>
                </c:pt>
                <c:pt idx="11">
                  <c:v>627.01</c:v>
                </c:pt>
                <c:pt idx="12">
                  <c:v>629.09</c:v>
                </c:pt>
                <c:pt idx="13">
                  <c:v>627.23</c:v>
                </c:pt>
                <c:pt idx="14">
                  <c:v>628.43999999999937</c:v>
                </c:pt>
                <c:pt idx="15">
                  <c:v>625.94999999999936</c:v>
                </c:pt>
                <c:pt idx="16">
                  <c:v>626.38</c:v>
                </c:pt>
                <c:pt idx="17">
                  <c:v>625.66999999999996</c:v>
                </c:pt>
                <c:pt idx="18">
                  <c:v>623.37</c:v>
                </c:pt>
                <c:pt idx="19">
                  <c:v>622.43999999999937</c:v>
                </c:pt>
                <c:pt idx="20">
                  <c:v>626.48</c:v>
                </c:pt>
                <c:pt idx="21">
                  <c:v>632.03</c:v>
                </c:pt>
                <c:pt idx="22">
                  <c:v>632.19000000000005</c:v>
                </c:pt>
                <c:pt idx="23">
                  <c:v>626.97</c:v>
                </c:pt>
                <c:pt idx="24">
                  <c:v>627.09</c:v>
                </c:pt>
                <c:pt idx="25">
                  <c:v>624.79999999999995</c:v>
                </c:pt>
                <c:pt idx="26">
                  <c:v>623.21</c:v>
                </c:pt>
                <c:pt idx="27">
                  <c:v>626.04</c:v>
                </c:pt>
                <c:pt idx="28">
                  <c:v>626.43999999999937</c:v>
                </c:pt>
                <c:pt idx="29">
                  <c:v>628.22</c:v>
                </c:pt>
                <c:pt idx="30">
                  <c:v>626.91999999999996</c:v>
                </c:pt>
                <c:pt idx="31">
                  <c:v>620.17999999999995</c:v>
                </c:pt>
                <c:pt idx="32">
                  <c:v>619.72</c:v>
                </c:pt>
                <c:pt idx="33">
                  <c:v>619.72</c:v>
                </c:pt>
                <c:pt idx="34">
                  <c:v>620.4</c:v>
                </c:pt>
                <c:pt idx="35">
                  <c:v>620.32999999999936</c:v>
                </c:pt>
                <c:pt idx="36">
                  <c:v>616.85999999999808</c:v>
                </c:pt>
                <c:pt idx="37">
                  <c:v>621.17999999999995</c:v>
                </c:pt>
                <c:pt idx="38">
                  <c:v>622.88</c:v>
                </c:pt>
                <c:pt idx="39">
                  <c:v>619.5</c:v>
                </c:pt>
                <c:pt idx="40">
                  <c:v>617.66999999999996</c:v>
                </c:pt>
                <c:pt idx="41">
                  <c:v>618.76</c:v>
                </c:pt>
                <c:pt idx="42">
                  <c:v>617.38</c:v>
                </c:pt>
                <c:pt idx="43">
                  <c:v>617.6</c:v>
                </c:pt>
                <c:pt idx="44">
                  <c:v>619.78</c:v>
                </c:pt>
                <c:pt idx="45">
                  <c:v>619.61</c:v>
                </c:pt>
                <c:pt idx="46">
                  <c:v>624.67999999999995</c:v>
                </c:pt>
                <c:pt idx="47">
                  <c:v>628.47</c:v>
                </c:pt>
                <c:pt idx="48">
                  <c:v>633.03</c:v>
                </c:pt>
                <c:pt idx="49">
                  <c:v>637.59</c:v>
                </c:pt>
                <c:pt idx="50">
                  <c:v>633.54</c:v>
                </c:pt>
                <c:pt idx="51">
                  <c:v>639.02</c:v>
                </c:pt>
                <c:pt idx="52">
                  <c:v>639.37</c:v>
                </c:pt>
                <c:pt idx="53">
                  <c:v>640.83999999999821</c:v>
                </c:pt>
                <c:pt idx="54">
                  <c:v>642.17999999999995</c:v>
                </c:pt>
                <c:pt idx="55">
                  <c:v>638.81999999999937</c:v>
                </c:pt>
                <c:pt idx="56">
                  <c:v>635.62</c:v>
                </c:pt>
                <c:pt idx="57">
                  <c:v>627</c:v>
                </c:pt>
                <c:pt idx="58">
                  <c:v>623.65</c:v>
                </c:pt>
                <c:pt idx="59">
                  <c:v>619.79</c:v>
                </c:pt>
                <c:pt idx="60">
                  <c:v>620.67999999999995</c:v>
                </c:pt>
                <c:pt idx="61">
                  <c:v>622.79</c:v>
                </c:pt>
                <c:pt idx="62">
                  <c:v>626.87</c:v>
                </c:pt>
                <c:pt idx="63">
                  <c:v>626.58000000000004</c:v>
                </c:pt>
                <c:pt idx="64">
                  <c:v>618.22</c:v>
                </c:pt>
                <c:pt idx="65">
                  <c:v>610.74</c:v>
                </c:pt>
                <c:pt idx="66">
                  <c:v>611.01</c:v>
                </c:pt>
                <c:pt idx="67">
                  <c:v>611.04999999999939</c:v>
                </c:pt>
                <c:pt idx="68">
                  <c:v>613.91</c:v>
                </c:pt>
                <c:pt idx="69">
                  <c:v>619.41999999999996</c:v>
                </c:pt>
                <c:pt idx="70">
                  <c:v>621.1</c:v>
                </c:pt>
                <c:pt idx="71">
                  <c:v>614.05999999999938</c:v>
                </c:pt>
                <c:pt idx="72">
                  <c:v>616.70000000000005</c:v>
                </c:pt>
                <c:pt idx="73">
                  <c:v>612.29999999999995</c:v>
                </c:pt>
                <c:pt idx="74">
                  <c:v>612.73</c:v>
                </c:pt>
                <c:pt idx="75">
                  <c:v>615.41999999999996</c:v>
                </c:pt>
                <c:pt idx="76">
                  <c:v>616.41999999999996</c:v>
                </c:pt>
                <c:pt idx="77">
                  <c:v>618.02</c:v>
                </c:pt>
                <c:pt idx="78">
                  <c:v>618.12</c:v>
                </c:pt>
                <c:pt idx="79">
                  <c:v>614.41999999999996</c:v>
                </c:pt>
                <c:pt idx="80">
                  <c:v>611.08000000000004</c:v>
                </c:pt>
                <c:pt idx="81">
                  <c:v>606.39</c:v>
                </c:pt>
                <c:pt idx="82">
                  <c:v>606.81999999999937</c:v>
                </c:pt>
                <c:pt idx="83">
                  <c:v>611.28</c:v>
                </c:pt>
                <c:pt idx="84">
                  <c:v>614.48</c:v>
                </c:pt>
                <c:pt idx="85">
                  <c:v>611.89</c:v>
                </c:pt>
                <c:pt idx="86">
                  <c:v>608.83999999999821</c:v>
                </c:pt>
                <c:pt idx="87">
                  <c:v>610.61</c:v>
                </c:pt>
                <c:pt idx="88">
                  <c:v>605.77</c:v>
                </c:pt>
                <c:pt idx="89">
                  <c:v>606.91999999999996</c:v>
                </c:pt>
                <c:pt idx="90">
                  <c:v>607.30999999999938</c:v>
                </c:pt>
                <c:pt idx="91">
                  <c:v>600.5</c:v>
                </c:pt>
                <c:pt idx="92">
                  <c:v>598.4</c:v>
                </c:pt>
                <c:pt idx="93">
                  <c:v>597.1</c:v>
                </c:pt>
                <c:pt idx="94">
                  <c:v>599.05999999999938</c:v>
                </c:pt>
                <c:pt idx="95">
                  <c:v>603.09</c:v>
                </c:pt>
                <c:pt idx="96">
                  <c:v>605.41</c:v>
                </c:pt>
                <c:pt idx="97">
                  <c:v>609.87</c:v>
                </c:pt>
                <c:pt idx="98">
                  <c:v>612.62</c:v>
                </c:pt>
                <c:pt idx="99">
                  <c:v>616.14</c:v>
                </c:pt>
                <c:pt idx="100">
                  <c:v>617.44999999999936</c:v>
                </c:pt>
                <c:pt idx="101">
                  <c:v>616.66</c:v>
                </c:pt>
                <c:pt idx="102">
                  <c:v>621.69000000000005</c:v>
                </c:pt>
                <c:pt idx="103">
                  <c:v>622.21</c:v>
                </c:pt>
                <c:pt idx="104">
                  <c:v>626.01</c:v>
                </c:pt>
                <c:pt idx="105">
                  <c:v>628.05999999999938</c:v>
                </c:pt>
                <c:pt idx="106">
                  <c:v>635.61</c:v>
                </c:pt>
                <c:pt idx="107">
                  <c:v>633.70000000000005</c:v>
                </c:pt>
                <c:pt idx="108">
                  <c:v>626.54999999999939</c:v>
                </c:pt>
                <c:pt idx="109">
                  <c:v>624.44999999999936</c:v>
                </c:pt>
                <c:pt idx="110">
                  <c:v>631.98</c:v>
                </c:pt>
                <c:pt idx="111">
                  <c:v>631.05999999999938</c:v>
                </c:pt>
                <c:pt idx="112">
                  <c:v>634.13</c:v>
                </c:pt>
                <c:pt idx="113">
                  <c:v>633.69000000000005</c:v>
                </c:pt>
                <c:pt idx="114">
                  <c:v>637.79999999999995</c:v>
                </c:pt>
                <c:pt idx="115">
                  <c:v>629.59</c:v>
                </c:pt>
                <c:pt idx="116">
                  <c:v>632.30999999999938</c:v>
                </c:pt>
                <c:pt idx="117">
                  <c:v>630.64</c:v>
                </c:pt>
                <c:pt idx="118">
                  <c:v>634.54</c:v>
                </c:pt>
                <c:pt idx="119">
                  <c:v>632.81999999999937</c:v>
                </c:pt>
                <c:pt idx="120">
                  <c:v>631.80999999999938</c:v>
                </c:pt>
                <c:pt idx="121">
                  <c:v>634.58000000000004</c:v>
                </c:pt>
                <c:pt idx="122">
                  <c:v>639.04</c:v>
                </c:pt>
                <c:pt idx="123">
                  <c:v>639.04</c:v>
                </c:pt>
                <c:pt idx="124">
                  <c:v>637.02</c:v>
                </c:pt>
                <c:pt idx="125">
                  <c:v>636.39</c:v>
                </c:pt>
                <c:pt idx="126">
                  <c:v>641.5</c:v>
                </c:pt>
                <c:pt idx="127">
                  <c:v>648.32999999999936</c:v>
                </c:pt>
                <c:pt idx="128">
                  <c:v>652.4</c:v>
                </c:pt>
                <c:pt idx="129">
                  <c:v>646.93999999999937</c:v>
                </c:pt>
                <c:pt idx="130">
                  <c:v>646.15</c:v>
                </c:pt>
                <c:pt idx="131">
                  <c:v>647.67999999999995</c:v>
                </c:pt>
                <c:pt idx="132">
                  <c:v>643.6</c:v>
                </c:pt>
                <c:pt idx="133">
                  <c:v>643.07000000000005</c:v>
                </c:pt>
                <c:pt idx="134">
                  <c:v>644.9</c:v>
                </c:pt>
                <c:pt idx="135">
                  <c:v>649.29999999999995</c:v>
                </c:pt>
                <c:pt idx="136">
                  <c:v>651.16999999999996</c:v>
                </c:pt>
                <c:pt idx="137">
                  <c:v>654.19000000000005</c:v>
                </c:pt>
                <c:pt idx="138">
                  <c:v>654.29</c:v>
                </c:pt>
                <c:pt idx="139">
                  <c:v>660.67</c:v>
                </c:pt>
                <c:pt idx="140">
                  <c:v>665.18</c:v>
                </c:pt>
                <c:pt idx="141">
                  <c:v>664.5</c:v>
                </c:pt>
                <c:pt idx="142">
                  <c:v>665.52</c:v>
                </c:pt>
                <c:pt idx="143">
                  <c:v>672.19</c:v>
                </c:pt>
                <c:pt idx="144">
                  <c:v>671.11</c:v>
                </c:pt>
                <c:pt idx="145">
                  <c:v>678.43999999999937</c:v>
                </c:pt>
                <c:pt idx="146">
                  <c:v>677.35999999999808</c:v>
                </c:pt>
                <c:pt idx="147">
                  <c:v>682.55</c:v>
                </c:pt>
                <c:pt idx="148">
                  <c:v>684.12</c:v>
                </c:pt>
                <c:pt idx="149">
                  <c:v>678.35999999999808</c:v>
                </c:pt>
                <c:pt idx="150">
                  <c:v>676.42999999999938</c:v>
                </c:pt>
                <c:pt idx="151">
                  <c:v>680.31999999999937</c:v>
                </c:pt>
                <c:pt idx="152">
                  <c:v>681.76</c:v>
                </c:pt>
                <c:pt idx="153">
                  <c:v>684.89</c:v>
                </c:pt>
                <c:pt idx="154">
                  <c:v>683.82999999999936</c:v>
                </c:pt>
                <c:pt idx="155">
                  <c:v>689.35999999999808</c:v>
                </c:pt>
                <c:pt idx="156">
                  <c:v>697.25</c:v>
                </c:pt>
                <c:pt idx="157">
                  <c:v>694.88</c:v>
                </c:pt>
                <c:pt idx="158">
                  <c:v>694.19</c:v>
                </c:pt>
                <c:pt idx="159">
                  <c:v>693.93999999999937</c:v>
                </c:pt>
                <c:pt idx="160">
                  <c:v>705.68</c:v>
                </c:pt>
                <c:pt idx="161">
                  <c:v>699.91</c:v>
                </c:pt>
                <c:pt idx="162">
                  <c:v>706.24</c:v>
                </c:pt>
                <c:pt idx="163">
                  <c:v>699.69</c:v>
                </c:pt>
                <c:pt idx="164">
                  <c:v>695.25</c:v>
                </c:pt>
                <c:pt idx="165">
                  <c:v>691.88</c:v>
                </c:pt>
                <c:pt idx="166">
                  <c:v>688.24</c:v>
                </c:pt>
                <c:pt idx="167">
                  <c:v>688.41</c:v>
                </c:pt>
                <c:pt idx="168">
                  <c:v>691.22</c:v>
                </c:pt>
                <c:pt idx="169">
                  <c:v>693.78</c:v>
                </c:pt>
                <c:pt idx="170">
                  <c:v>688.32999999999936</c:v>
                </c:pt>
                <c:pt idx="171">
                  <c:v>688.32999999999936</c:v>
                </c:pt>
                <c:pt idx="172">
                  <c:v>691.03</c:v>
                </c:pt>
                <c:pt idx="173">
                  <c:v>684.54</c:v>
                </c:pt>
                <c:pt idx="174">
                  <c:v>688.65</c:v>
                </c:pt>
                <c:pt idx="175">
                  <c:v>686.38</c:v>
                </c:pt>
                <c:pt idx="176">
                  <c:v>680.16</c:v>
                </c:pt>
                <c:pt idx="177">
                  <c:v>676.74</c:v>
                </c:pt>
                <c:pt idx="178">
                  <c:v>682.67</c:v>
                </c:pt>
                <c:pt idx="179">
                  <c:v>696.47</c:v>
                </c:pt>
                <c:pt idx="180">
                  <c:v>700.42999999999938</c:v>
                </c:pt>
                <c:pt idx="181">
                  <c:v>705.92</c:v>
                </c:pt>
                <c:pt idx="182">
                  <c:v>697.91</c:v>
                </c:pt>
                <c:pt idx="183">
                  <c:v>705.29</c:v>
                </c:pt>
                <c:pt idx="184">
                  <c:v>704.68</c:v>
                </c:pt>
                <c:pt idx="185">
                  <c:v>698.72</c:v>
                </c:pt>
                <c:pt idx="186">
                  <c:v>695.53</c:v>
                </c:pt>
                <c:pt idx="187">
                  <c:v>695.32999999999936</c:v>
                </c:pt>
                <c:pt idx="188">
                  <c:v>685.82999999999936</c:v>
                </c:pt>
                <c:pt idx="189">
                  <c:v>681.29</c:v>
                </c:pt>
                <c:pt idx="190">
                  <c:v>678.59</c:v>
                </c:pt>
                <c:pt idx="191">
                  <c:v>681.7</c:v>
                </c:pt>
                <c:pt idx="192">
                  <c:v>675.37</c:v>
                </c:pt>
                <c:pt idx="193">
                  <c:v>683.05</c:v>
                </c:pt>
                <c:pt idx="194">
                  <c:v>681.07</c:v>
                </c:pt>
                <c:pt idx="195">
                  <c:v>675.62</c:v>
                </c:pt>
                <c:pt idx="196">
                  <c:v>673.91</c:v>
                </c:pt>
                <c:pt idx="197">
                  <c:v>679.30999999999938</c:v>
                </c:pt>
                <c:pt idx="198">
                  <c:v>684.21</c:v>
                </c:pt>
                <c:pt idx="199">
                  <c:v>692.7</c:v>
                </c:pt>
                <c:pt idx="200">
                  <c:v>691.62</c:v>
                </c:pt>
                <c:pt idx="201">
                  <c:v>686.94999999999936</c:v>
                </c:pt>
                <c:pt idx="202">
                  <c:v>685.64</c:v>
                </c:pt>
                <c:pt idx="203">
                  <c:v>687.44999999999936</c:v>
                </c:pt>
                <c:pt idx="204">
                  <c:v>687.37</c:v>
                </c:pt>
                <c:pt idx="205">
                  <c:v>690.33999999999821</c:v>
                </c:pt>
                <c:pt idx="206">
                  <c:v>690.31999999999937</c:v>
                </c:pt>
                <c:pt idx="207">
                  <c:v>691.92</c:v>
                </c:pt>
                <c:pt idx="208">
                  <c:v>691.19</c:v>
                </c:pt>
                <c:pt idx="209">
                  <c:v>688.93999999999937</c:v>
                </c:pt>
                <c:pt idx="210">
                  <c:v>693.49</c:v>
                </c:pt>
                <c:pt idx="211">
                  <c:v>697.07</c:v>
                </c:pt>
                <c:pt idx="212">
                  <c:v>701.26</c:v>
                </c:pt>
                <c:pt idx="213">
                  <c:v>702.7</c:v>
                </c:pt>
                <c:pt idx="214">
                  <c:v>699.08</c:v>
                </c:pt>
                <c:pt idx="215">
                  <c:v>702.51</c:v>
                </c:pt>
                <c:pt idx="216">
                  <c:v>705.09</c:v>
                </c:pt>
                <c:pt idx="217">
                  <c:v>709.59</c:v>
                </c:pt>
                <c:pt idx="218">
                  <c:v>710.45999999999867</c:v>
                </c:pt>
                <c:pt idx="219">
                  <c:v>714.12</c:v>
                </c:pt>
                <c:pt idx="220">
                  <c:v>711.95999999999867</c:v>
                </c:pt>
                <c:pt idx="221">
                  <c:v>709.04</c:v>
                </c:pt>
                <c:pt idx="222">
                  <c:v>715.66</c:v>
                </c:pt>
                <c:pt idx="223">
                  <c:v>711.42</c:v>
                </c:pt>
                <c:pt idx="224">
                  <c:v>713.47</c:v>
                </c:pt>
                <c:pt idx="225">
                  <c:v>712.13</c:v>
                </c:pt>
                <c:pt idx="226">
                  <c:v>712.63</c:v>
                </c:pt>
                <c:pt idx="227">
                  <c:v>711.2</c:v>
                </c:pt>
                <c:pt idx="228">
                  <c:v>707.15</c:v>
                </c:pt>
                <c:pt idx="229">
                  <c:v>703.47</c:v>
                </c:pt>
                <c:pt idx="230">
                  <c:v>701.55999999999938</c:v>
                </c:pt>
                <c:pt idx="231">
                  <c:v>701.04</c:v>
                </c:pt>
                <c:pt idx="232">
                  <c:v>706.33999999999821</c:v>
                </c:pt>
                <c:pt idx="233">
                  <c:v>704.7</c:v>
                </c:pt>
                <c:pt idx="234">
                  <c:v>703.54</c:v>
                </c:pt>
                <c:pt idx="235">
                  <c:v>707.11</c:v>
                </c:pt>
                <c:pt idx="236">
                  <c:v>711.52</c:v>
                </c:pt>
                <c:pt idx="237">
                  <c:v>709.81999999999937</c:v>
                </c:pt>
                <c:pt idx="238">
                  <c:v>709.23</c:v>
                </c:pt>
                <c:pt idx="239">
                  <c:v>708.5</c:v>
                </c:pt>
                <c:pt idx="240">
                  <c:v>702.7</c:v>
                </c:pt>
                <c:pt idx="241">
                  <c:v>694.37</c:v>
                </c:pt>
                <c:pt idx="242">
                  <c:v>693.72</c:v>
                </c:pt>
                <c:pt idx="243">
                  <c:v>696.26</c:v>
                </c:pt>
                <c:pt idx="244">
                  <c:v>704.42</c:v>
                </c:pt>
                <c:pt idx="245">
                  <c:v>707.33999999999821</c:v>
                </c:pt>
                <c:pt idx="246" formatCode="#,##0.00">
                  <c:v>710.16</c:v>
                </c:pt>
                <c:pt idx="247" formatCode="#,##0.00">
                  <c:v>716.93999999999937</c:v>
                </c:pt>
                <c:pt idx="248" formatCode="#,##0.00">
                  <c:v>715.08</c:v>
                </c:pt>
                <c:pt idx="249" formatCode="#,##0.00">
                  <c:v>715.83999999999821</c:v>
                </c:pt>
                <c:pt idx="250" formatCode="#,##0.00">
                  <c:v>721.30999999999938</c:v>
                </c:pt>
                <c:pt idx="251" formatCode="#,##0.00">
                  <c:v>723.30999999999938</c:v>
                </c:pt>
                <c:pt idx="252" formatCode="#,##0.00">
                  <c:v>729.78</c:v>
                </c:pt>
                <c:pt idx="253" formatCode="#,##0.00">
                  <c:v>730.28</c:v>
                </c:pt>
                <c:pt idx="254" formatCode="#,##0.00">
                  <c:v>726.57</c:v>
                </c:pt>
                <c:pt idx="255" formatCode="#,##0.00">
                  <c:v>725.98</c:v>
                </c:pt>
                <c:pt idx="256" formatCode="#,##0.00">
                  <c:v>730.30999999999938</c:v>
                </c:pt>
                <c:pt idx="257" formatCode="#,##0.00">
                  <c:v>730.2</c:v>
                </c:pt>
                <c:pt idx="258" formatCode="#,##0.00">
                  <c:v>726.19</c:v>
                </c:pt>
                <c:pt idx="259" formatCode="#,##0.00">
                  <c:v>729.22</c:v>
                </c:pt>
                <c:pt idx="260" formatCode="#,##0.00">
                  <c:v>726.63</c:v>
                </c:pt>
                <c:pt idx="261" formatCode="#,##0.00">
                  <c:v>715.63</c:v>
                </c:pt>
                <c:pt idx="262" formatCode="#,##0.00">
                  <c:v>717.45999999999867</c:v>
                </c:pt>
                <c:pt idx="263" formatCode="#,##0.00">
                  <c:v>720.14</c:v>
                </c:pt>
                <c:pt idx="264" formatCode="#,##0.00">
                  <c:v>716.21</c:v>
                </c:pt>
                <c:pt idx="265" formatCode="#,##0.00">
                  <c:v>711.72</c:v>
                </c:pt>
                <c:pt idx="266" formatCode="#,##0.00">
                  <c:v>710.37</c:v>
                </c:pt>
                <c:pt idx="267" formatCode="#,##0.00">
                  <c:v>714.43999999999937</c:v>
                </c:pt>
                <c:pt idx="268" formatCode="#,##0.00">
                  <c:v>713.54</c:v>
                </c:pt>
                <c:pt idx="269" formatCode="#,##0.00">
                  <c:v>709.42999999999938</c:v>
                </c:pt>
                <c:pt idx="270" formatCode="#,##0.00">
                  <c:v>698.49</c:v>
                </c:pt>
                <c:pt idx="271" formatCode="#,##0.00">
                  <c:v>700.02</c:v>
                </c:pt>
                <c:pt idx="272" formatCode="#,##0.00">
                  <c:v>709.75</c:v>
                </c:pt>
                <c:pt idx="273" formatCode="#,##0.00">
                  <c:v>715.41</c:v>
                </c:pt>
                <c:pt idx="274" formatCode="#,##0.00">
                  <c:v>711.33999999999821</c:v>
                </c:pt>
                <c:pt idx="275" formatCode="#,##0.00">
                  <c:v>713.47</c:v>
                </c:pt>
                <c:pt idx="276" formatCode="#,##0.00">
                  <c:v>708.63</c:v>
                </c:pt>
                <c:pt idx="277" formatCode="#,##0.00">
                  <c:v>701.39</c:v>
                </c:pt>
                <c:pt idx="278" formatCode="#,##0.00">
                  <c:v>704.92</c:v>
                </c:pt>
                <c:pt idx="279" formatCode="#,##0.00">
                  <c:v>705.43999999999937</c:v>
                </c:pt>
                <c:pt idx="280" formatCode="#,##0.00">
                  <c:v>700.74</c:v>
                </c:pt>
                <c:pt idx="281" formatCode="#,##0.00">
                  <c:v>702.38</c:v>
                </c:pt>
                <c:pt idx="282" formatCode="#,##0.00">
                  <c:v>693.78</c:v>
                </c:pt>
                <c:pt idx="283" formatCode="#,##0.00">
                  <c:v>693.23</c:v>
                </c:pt>
                <c:pt idx="284" formatCode="#,##0.00">
                  <c:v>698.47</c:v>
                </c:pt>
                <c:pt idx="285" formatCode="#,##0.00">
                  <c:v>691.35999999999808</c:v>
                </c:pt>
                <c:pt idx="286" formatCode="#,##0.00">
                  <c:v>689.18</c:v>
                </c:pt>
                <c:pt idx="287" formatCode="#,##0.00">
                  <c:v>694.17</c:v>
                </c:pt>
                <c:pt idx="288" formatCode="#,##0.00">
                  <c:v>694.81999999999937</c:v>
                </c:pt>
                <c:pt idx="289" formatCode="#,##0.00">
                  <c:v>688.48</c:v>
                </c:pt>
                <c:pt idx="290" formatCode="#,##0.00">
                  <c:v>686.64</c:v>
                </c:pt>
                <c:pt idx="291" formatCode="#,##0.00">
                  <c:v>681.39</c:v>
                </c:pt>
                <c:pt idx="292" formatCode="#,##0.00">
                  <c:v>681.63</c:v>
                </c:pt>
                <c:pt idx="293" formatCode="#,##0.00">
                  <c:v>682</c:v>
                </c:pt>
                <c:pt idx="294" formatCode="#,##0.00">
                  <c:v>678.72</c:v>
                </c:pt>
                <c:pt idx="295" formatCode="#,##0.00">
                  <c:v>678.22</c:v>
                </c:pt>
                <c:pt idx="296" formatCode="#,##0.00">
                  <c:v>683</c:v>
                </c:pt>
                <c:pt idx="297" formatCode="#,##0.00">
                  <c:v>684.74</c:v>
                </c:pt>
                <c:pt idx="298" formatCode="#,##0.00">
                  <c:v>685.98</c:v>
                </c:pt>
                <c:pt idx="299" formatCode="#,##0.00">
                  <c:v>688.11</c:v>
                </c:pt>
                <c:pt idx="300" formatCode="#,##0.00">
                  <c:v>672.05999999999938</c:v>
                </c:pt>
                <c:pt idx="301" formatCode="#,##0.00">
                  <c:v>671.97</c:v>
                </c:pt>
                <c:pt idx="302" formatCode="#,##0.00">
                  <c:v>677.52</c:v>
                </c:pt>
                <c:pt idx="303" formatCode="#,##0.00">
                  <c:v>677.42</c:v>
                </c:pt>
                <c:pt idx="304" formatCode="#,##0.00">
                  <c:v>677.16</c:v>
                </c:pt>
                <c:pt idx="305" formatCode="#,##0.00">
                  <c:v>680.83999999999821</c:v>
                </c:pt>
                <c:pt idx="306" formatCode="#,##0.00">
                  <c:v>683.16</c:v>
                </c:pt>
                <c:pt idx="307" formatCode="#,##0.00">
                  <c:v>675.1</c:v>
                </c:pt>
                <c:pt idx="308" formatCode="#,##0.00">
                  <c:v>669.8</c:v>
                </c:pt>
                <c:pt idx="309" formatCode="#,##0.00">
                  <c:v>671.24</c:v>
                </c:pt>
                <c:pt idx="310" formatCode="#,##0.00">
                  <c:v>669.55</c:v>
                </c:pt>
                <c:pt idx="311" formatCode="#,##0.00">
                  <c:v>674.92999999999938</c:v>
                </c:pt>
                <c:pt idx="312" formatCode="#,##0.00">
                  <c:v>676.62</c:v>
                </c:pt>
                <c:pt idx="313" formatCode="#,##0.00">
                  <c:v>680.79</c:v>
                </c:pt>
                <c:pt idx="314" formatCode="#,##0.00">
                  <c:v>682.44999999999936</c:v>
                </c:pt>
                <c:pt idx="315" formatCode="#,##0.00">
                  <c:v>682.16</c:v>
                </c:pt>
                <c:pt idx="316" formatCode="#,##0.00">
                  <c:v>674.58</c:v>
                </c:pt>
                <c:pt idx="317" formatCode="#,##0.00">
                  <c:v>670.8</c:v>
                </c:pt>
                <c:pt idx="318" formatCode="#,##0.00">
                  <c:v>668.38</c:v>
                </c:pt>
                <c:pt idx="319" formatCode="#,##0.00">
                  <c:v>666.6</c:v>
                </c:pt>
                <c:pt idx="320" formatCode="#,##0.00">
                  <c:v>666</c:v>
                </c:pt>
                <c:pt idx="321" formatCode="#,##0.00">
                  <c:v>657.9</c:v>
                </c:pt>
                <c:pt idx="322" formatCode="#,##0.00">
                  <c:v>660.38</c:v>
                </c:pt>
                <c:pt idx="323" formatCode="#,##0.00">
                  <c:v>660.33999999999821</c:v>
                </c:pt>
              </c:numCache>
            </c:numRef>
          </c:val>
          <c:smooth val="0"/>
        </c:ser>
        <c:dLbls>
          <c:showLegendKey val="0"/>
          <c:showVal val="0"/>
          <c:showCatName val="0"/>
          <c:showSerName val="0"/>
          <c:showPercent val="0"/>
          <c:showBubbleSize val="0"/>
        </c:dLbls>
        <c:marker val="1"/>
        <c:smooth val="0"/>
        <c:axId val="918349200"/>
        <c:axId val="918349760"/>
      </c:lineChart>
      <c:lineChart>
        <c:grouping val="standard"/>
        <c:varyColors val="0"/>
        <c:ser>
          <c:idx val="1"/>
          <c:order val="1"/>
          <c:tx>
            <c:strRef>
              <c:f>'Mismo día'!$D$3</c:f>
              <c:strCache>
                <c:ptCount val="1"/>
                <c:pt idx="0">
                  <c:v>Copper Price</c:v>
                </c:pt>
              </c:strCache>
            </c:strRef>
          </c:tx>
          <c:spPr>
            <a:ln>
              <a:prstDash val="sysDot"/>
            </a:ln>
          </c:spPr>
          <c:marker>
            <c:symbol val="none"/>
          </c:marker>
          <c:cat>
            <c:numRef>
              <c:f>'Mismo día'!$A$4:$A$327</c:f>
              <c:numCache>
                <c:formatCode>mm\.dd\.yyyy</c:formatCode>
                <c:ptCount val="324"/>
                <c:pt idx="0">
                  <c:v>42006</c:v>
                </c:pt>
                <c:pt idx="1">
                  <c:v>42009</c:v>
                </c:pt>
                <c:pt idx="2">
                  <c:v>42010</c:v>
                </c:pt>
                <c:pt idx="3">
                  <c:v>42011</c:v>
                </c:pt>
                <c:pt idx="4">
                  <c:v>42012</c:v>
                </c:pt>
                <c:pt idx="5">
                  <c:v>42013</c:v>
                </c:pt>
                <c:pt idx="6">
                  <c:v>42016</c:v>
                </c:pt>
                <c:pt idx="7">
                  <c:v>42017</c:v>
                </c:pt>
                <c:pt idx="8">
                  <c:v>42018</c:v>
                </c:pt>
                <c:pt idx="9">
                  <c:v>42019</c:v>
                </c:pt>
                <c:pt idx="10">
                  <c:v>42020</c:v>
                </c:pt>
                <c:pt idx="11">
                  <c:v>42023</c:v>
                </c:pt>
                <c:pt idx="12">
                  <c:v>42024</c:v>
                </c:pt>
                <c:pt idx="13">
                  <c:v>42025</c:v>
                </c:pt>
                <c:pt idx="14">
                  <c:v>42026</c:v>
                </c:pt>
                <c:pt idx="15">
                  <c:v>42027</c:v>
                </c:pt>
                <c:pt idx="16">
                  <c:v>42030</c:v>
                </c:pt>
                <c:pt idx="17">
                  <c:v>42031</c:v>
                </c:pt>
                <c:pt idx="18">
                  <c:v>42032</c:v>
                </c:pt>
                <c:pt idx="19">
                  <c:v>42033</c:v>
                </c:pt>
                <c:pt idx="20">
                  <c:v>42034</c:v>
                </c:pt>
                <c:pt idx="21">
                  <c:v>42037</c:v>
                </c:pt>
                <c:pt idx="22">
                  <c:v>42038</c:v>
                </c:pt>
                <c:pt idx="23">
                  <c:v>42039</c:v>
                </c:pt>
                <c:pt idx="24">
                  <c:v>42040</c:v>
                </c:pt>
                <c:pt idx="25">
                  <c:v>42041</c:v>
                </c:pt>
                <c:pt idx="26">
                  <c:v>42044</c:v>
                </c:pt>
                <c:pt idx="27">
                  <c:v>42045</c:v>
                </c:pt>
                <c:pt idx="28">
                  <c:v>42046</c:v>
                </c:pt>
                <c:pt idx="29">
                  <c:v>42047</c:v>
                </c:pt>
                <c:pt idx="30">
                  <c:v>42048</c:v>
                </c:pt>
                <c:pt idx="31">
                  <c:v>42051</c:v>
                </c:pt>
                <c:pt idx="32">
                  <c:v>42052</c:v>
                </c:pt>
                <c:pt idx="33">
                  <c:v>42053</c:v>
                </c:pt>
                <c:pt idx="34">
                  <c:v>42054</c:v>
                </c:pt>
                <c:pt idx="35">
                  <c:v>42055</c:v>
                </c:pt>
                <c:pt idx="36">
                  <c:v>42058</c:v>
                </c:pt>
                <c:pt idx="37">
                  <c:v>42059</c:v>
                </c:pt>
                <c:pt idx="38">
                  <c:v>42060</c:v>
                </c:pt>
                <c:pt idx="39">
                  <c:v>42061</c:v>
                </c:pt>
                <c:pt idx="40">
                  <c:v>42062</c:v>
                </c:pt>
                <c:pt idx="41">
                  <c:v>42065</c:v>
                </c:pt>
                <c:pt idx="42">
                  <c:v>42066</c:v>
                </c:pt>
                <c:pt idx="43">
                  <c:v>42067</c:v>
                </c:pt>
                <c:pt idx="44">
                  <c:v>42068</c:v>
                </c:pt>
                <c:pt idx="45">
                  <c:v>42069</c:v>
                </c:pt>
                <c:pt idx="46">
                  <c:v>42072</c:v>
                </c:pt>
                <c:pt idx="47">
                  <c:v>42073</c:v>
                </c:pt>
                <c:pt idx="48">
                  <c:v>42074</c:v>
                </c:pt>
                <c:pt idx="49">
                  <c:v>42075</c:v>
                </c:pt>
                <c:pt idx="50">
                  <c:v>42076</c:v>
                </c:pt>
                <c:pt idx="51">
                  <c:v>42079</c:v>
                </c:pt>
                <c:pt idx="52">
                  <c:v>42080</c:v>
                </c:pt>
                <c:pt idx="53">
                  <c:v>42081</c:v>
                </c:pt>
                <c:pt idx="54">
                  <c:v>42082</c:v>
                </c:pt>
                <c:pt idx="55">
                  <c:v>42083</c:v>
                </c:pt>
                <c:pt idx="56">
                  <c:v>42086</c:v>
                </c:pt>
                <c:pt idx="57">
                  <c:v>42087</c:v>
                </c:pt>
                <c:pt idx="58">
                  <c:v>42088</c:v>
                </c:pt>
                <c:pt idx="59">
                  <c:v>42089</c:v>
                </c:pt>
                <c:pt idx="60">
                  <c:v>42090</c:v>
                </c:pt>
                <c:pt idx="61">
                  <c:v>42093</c:v>
                </c:pt>
                <c:pt idx="62">
                  <c:v>42094</c:v>
                </c:pt>
                <c:pt idx="63">
                  <c:v>42095</c:v>
                </c:pt>
                <c:pt idx="64">
                  <c:v>42096</c:v>
                </c:pt>
                <c:pt idx="65">
                  <c:v>42101</c:v>
                </c:pt>
                <c:pt idx="66">
                  <c:v>42102</c:v>
                </c:pt>
                <c:pt idx="67">
                  <c:v>42103</c:v>
                </c:pt>
                <c:pt idx="68">
                  <c:v>42104</c:v>
                </c:pt>
                <c:pt idx="69">
                  <c:v>42107</c:v>
                </c:pt>
                <c:pt idx="70">
                  <c:v>42108</c:v>
                </c:pt>
                <c:pt idx="71">
                  <c:v>42109</c:v>
                </c:pt>
                <c:pt idx="72">
                  <c:v>42110</c:v>
                </c:pt>
                <c:pt idx="73">
                  <c:v>42111</c:v>
                </c:pt>
                <c:pt idx="74">
                  <c:v>42114</c:v>
                </c:pt>
                <c:pt idx="75">
                  <c:v>42115</c:v>
                </c:pt>
                <c:pt idx="76">
                  <c:v>42116</c:v>
                </c:pt>
                <c:pt idx="77">
                  <c:v>42117</c:v>
                </c:pt>
                <c:pt idx="78">
                  <c:v>42118</c:v>
                </c:pt>
                <c:pt idx="79">
                  <c:v>42121</c:v>
                </c:pt>
                <c:pt idx="80">
                  <c:v>42122</c:v>
                </c:pt>
                <c:pt idx="81">
                  <c:v>42123</c:v>
                </c:pt>
                <c:pt idx="82">
                  <c:v>42124</c:v>
                </c:pt>
                <c:pt idx="83">
                  <c:v>42128</c:v>
                </c:pt>
                <c:pt idx="84">
                  <c:v>42129</c:v>
                </c:pt>
                <c:pt idx="85">
                  <c:v>42130</c:v>
                </c:pt>
                <c:pt idx="86">
                  <c:v>42131</c:v>
                </c:pt>
                <c:pt idx="87">
                  <c:v>42132</c:v>
                </c:pt>
                <c:pt idx="88">
                  <c:v>42135</c:v>
                </c:pt>
                <c:pt idx="89">
                  <c:v>42136</c:v>
                </c:pt>
                <c:pt idx="90">
                  <c:v>42137</c:v>
                </c:pt>
                <c:pt idx="91">
                  <c:v>42138</c:v>
                </c:pt>
                <c:pt idx="92">
                  <c:v>42139</c:v>
                </c:pt>
                <c:pt idx="93">
                  <c:v>42142</c:v>
                </c:pt>
                <c:pt idx="94">
                  <c:v>42143</c:v>
                </c:pt>
                <c:pt idx="95">
                  <c:v>42144</c:v>
                </c:pt>
                <c:pt idx="96">
                  <c:v>42146</c:v>
                </c:pt>
                <c:pt idx="97">
                  <c:v>42150</c:v>
                </c:pt>
                <c:pt idx="98">
                  <c:v>42151</c:v>
                </c:pt>
                <c:pt idx="99">
                  <c:v>42152</c:v>
                </c:pt>
                <c:pt idx="100">
                  <c:v>42153</c:v>
                </c:pt>
                <c:pt idx="101">
                  <c:v>42156</c:v>
                </c:pt>
                <c:pt idx="102">
                  <c:v>42157</c:v>
                </c:pt>
                <c:pt idx="103">
                  <c:v>42158</c:v>
                </c:pt>
                <c:pt idx="104">
                  <c:v>42159</c:v>
                </c:pt>
                <c:pt idx="105">
                  <c:v>42160</c:v>
                </c:pt>
                <c:pt idx="106">
                  <c:v>42163</c:v>
                </c:pt>
                <c:pt idx="107">
                  <c:v>42164</c:v>
                </c:pt>
                <c:pt idx="108">
                  <c:v>42165</c:v>
                </c:pt>
                <c:pt idx="109">
                  <c:v>42166</c:v>
                </c:pt>
                <c:pt idx="110">
                  <c:v>42167</c:v>
                </c:pt>
                <c:pt idx="111">
                  <c:v>42170</c:v>
                </c:pt>
                <c:pt idx="112">
                  <c:v>42171</c:v>
                </c:pt>
                <c:pt idx="113">
                  <c:v>42172</c:v>
                </c:pt>
                <c:pt idx="114">
                  <c:v>42173</c:v>
                </c:pt>
                <c:pt idx="115">
                  <c:v>42174</c:v>
                </c:pt>
                <c:pt idx="116">
                  <c:v>42177</c:v>
                </c:pt>
                <c:pt idx="117">
                  <c:v>42178</c:v>
                </c:pt>
                <c:pt idx="118">
                  <c:v>42179</c:v>
                </c:pt>
                <c:pt idx="119">
                  <c:v>42180</c:v>
                </c:pt>
                <c:pt idx="120">
                  <c:v>42181</c:v>
                </c:pt>
                <c:pt idx="121">
                  <c:v>42185</c:v>
                </c:pt>
                <c:pt idx="122">
                  <c:v>42186</c:v>
                </c:pt>
                <c:pt idx="123">
                  <c:v>42187</c:v>
                </c:pt>
                <c:pt idx="124">
                  <c:v>42188</c:v>
                </c:pt>
                <c:pt idx="125">
                  <c:v>42191</c:v>
                </c:pt>
                <c:pt idx="126">
                  <c:v>42192</c:v>
                </c:pt>
                <c:pt idx="127">
                  <c:v>42193</c:v>
                </c:pt>
                <c:pt idx="128">
                  <c:v>42194</c:v>
                </c:pt>
                <c:pt idx="129">
                  <c:v>42195</c:v>
                </c:pt>
                <c:pt idx="130">
                  <c:v>42198</c:v>
                </c:pt>
                <c:pt idx="131">
                  <c:v>42199</c:v>
                </c:pt>
                <c:pt idx="132">
                  <c:v>42200</c:v>
                </c:pt>
                <c:pt idx="133">
                  <c:v>42202</c:v>
                </c:pt>
                <c:pt idx="134">
                  <c:v>42205</c:v>
                </c:pt>
                <c:pt idx="135">
                  <c:v>42206</c:v>
                </c:pt>
                <c:pt idx="136">
                  <c:v>42207</c:v>
                </c:pt>
                <c:pt idx="137">
                  <c:v>42208</c:v>
                </c:pt>
                <c:pt idx="138">
                  <c:v>42209</c:v>
                </c:pt>
                <c:pt idx="139">
                  <c:v>42212</c:v>
                </c:pt>
                <c:pt idx="140">
                  <c:v>42213</c:v>
                </c:pt>
                <c:pt idx="141">
                  <c:v>42214</c:v>
                </c:pt>
                <c:pt idx="142">
                  <c:v>42215</c:v>
                </c:pt>
                <c:pt idx="143">
                  <c:v>42216</c:v>
                </c:pt>
                <c:pt idx="144">
                  <c:v>42219</c:v>
                </c:pt>
                <c:pt idx="145">
                  <c:v>42220</c:v>
                </c:pt>
                <c:pt idx="146">
                  <c:v>42221</c:v>
                </c:pt>
                <c:pt idx="147">
                  <c:v>42222</c:v>
                </c:pt>
                <c:pt idx="148">
                  <c:v>42223</c:v>
                </c:pt>
                <c:pt idx="149">
                  <c:v>42226</c:v>
                </c:pt>
                <c:pt idx="150">
                  <c:v>42227</c:v>
                </c:pt>
                <c:pt idx="151">
                  <c:v>42228</c:v>
                </c:pt>
                <c:pt idx="152">
                  <c:v>42229</c:v>
                </c:pt>
                <c:pt idx="153">
                  <c:v>42230</c:v>
                </c:pt>
                <c:pt idx="154">
                  <c:v>42233</c:v>
                </c:pt>
                <c:pt idx="155">
                  <c:v>42234</c:v>
                </c:pt>
                <c:pt idx="156">
                  <c:v>42235</c:v>
                </c:pt>
                <c:pt idx="157">
                  <c:v>42236</c:v>
                </c:pt>
                <c:pt idx="158">
                  <c:v>42237</c:v>
                </c:pt>
                <c:pt idx="159">
                  <c:v>42240</c:v>
                </c:pt>
                <c:pt idx="160">
                  <c:v>42241</c:v>
                </c:pt>
                <c:pt idx="161">
                  <c:v>42242</c:v>
                </c:pt>
                <c:pt idx="162">
                  <c:v>42243</c:v>
                </c:pt>
                <c:pt idx="163">
                  <c:v>42244</c:v>
                </c:pt>
                <c:pt idx="164">
                  <c:v>42248</c:v>
                </c:pt>
                <c:pt idx="165">
                  <c:v>42249</c:v>
                </c:pt>
                <c:pt idx="166">
                  <c:v>42250</c:v>
                </c:pt>
                <c:pt idx="167">
                  <c:v>42251</c:v>
                </c:pt>
                <c:pt idx="168">
                  <c:v>42254</c:v>
                </c:pt>
                <c:pt idx="169">
                  <c:v>42255</c:v>
                </c:pt>
                <c:pt idx="170">
                  <c:v>42256</c:v>
                </c:pt>
                <c:pt idx="171">
                  <c:v>42257</c:v>
                </c:pt>
                <c:pt idx="172">
                  <c:v>42258</c:v>
                </c:pt>
                <c:pt idx="173">
                  <c:v>42261</c:v>
                </c:pt>
                <c:pt idx="174">
                  <c:v>42262</c:v>
                </c:pt>
                <c:pt idx="175">
                  <c:v>42263</c:v>
                </c:pt>
                <c:pt idx="176">
                  <c:v>42264</c:v>
                </c:pt>
                <c:pt idx="177">
                  <c:v>42268</c:v>
                </c:pt>
                <c:pt idx="178">
                  <c:v>42269</c:v>
                </c:pt>
                <c:pt idx="179">
                  <c:v>42270</c:v>
                </c:pt>
                <c:pt idx="180">
                  <c:v>42271</c:v>
                </c:pt>
                <c:pt idx="181">
                  <c:v>42272</c:v>
                </c:pt>
                <c:pt idx="182">
                  <c:v>42275</c:v>
                </c:pt>
                <c:pt idx="183">
                  <c:v>42276</c:v>
                </c:pt>
                <c:pt idx="184">
                  <c:v>42277</c:v>
                </c:pt>
                <c:pt idx="185">
                  <c:v>42278</c:v>
                </c:pt>
                <c:pt idx="186">
                  <c:v>42279</c:v>
                </c:pt>
                <c:pt idx="187">
                  <c:v>42282</c:v>
                </c:pt>
                <c:pt idx="188">
                  <c:v>42283</c:v>
                </c:pt>
                <c:pt idx="189">
                  <c:v>42284</c:v>
                </c:pt>
                <c:pt idx="190">
                  <c:v>42285</c:v>
                </c:pt>
                <c:pt idx="191">
                  <c:v>42286</c:v>
                </c:pt>
                <c:pt idx="192">
                  <c:v>42290</c:v>
                </c:pt>
                <c:pt idx="193">
                  <c:v>42291</c:v>
                </c:pt>
                <c:pt idx="194">
                  <c:v>42292</c:v>
                </c:pt>
                <c:pt idx="195">
                  <c:v>42293</c:v>
                </c:pt>
                <c:pt idx="196">
                  <c:v>42296</c:v>
                </c:pt>
                <c:pt idx="197">
                  <c:v>42297</c:v>
                </c:pt>
                <c:pt idx="198">
                  <c:v>42298</c:v>
                </c:pt>
                <c:pt idx="199">
                  <c:v>42299</c:v>
                </c:pt>
                <c:pt idx="200">
                  <c:v>42300</c:v>
                </c:pt>
                <c:pt idx="201">
                  <c:v>42303</c:v>
                </c:pt>
                <c:pt idx="202">
                  <c:v>42304</c:v>
                </c:pt>
                <c:pt idx="203">
                  <c:v>42305</c:v>
                </c:pt>
                <c:pt idx="204">
                  <c:v>42306</c:v>
                </c:pt>
                <c:pt idx="205">
                  <c:v>42307</c:v>
                </c:pt>
                <c:pt idx="206">
                  <c:v>42310</c:v>
                </c:pt>
                <c:pt idx="207">
                  <c:v>42311</c:v>
                </c:pt>
                <c:pt idx="208">
                  <c:v>42312</c:v>
                </c:pt>
                <c:pt idx="209">
                  <c:v>42313</c:v>
                </c:pt>
                <c:pt idx="210">
                  <c:v>42314</c:v>
                </c:pt>
                <c:pt idx="211">
                  <c:v>42317</c:v>
                </c:pt>
                <c:pt idx="212">
                  <c:v>42318</c:v>
                </c:pt>
                <c:pt idx="213">
                  <c:v>42319</c:v>
                </c:pt>
                <c:pt idx="214">
                  <c:v>42320</c:v>
                </c:pt>
                <c:pt idx="215">
                  <c:v>42321</c:v>
                </c:pt>
                <c:pt idx="216">
                  <c:v>42324</c:v>
                </c:pt>
                <c:pt idx="217">
                  <c:v>42325</c:v>
                </c:pt>
                <c:pt idx="218">
                  <c:v>42326</c:v>
                </c:pt>
                <c:pt idx="219">
                  <c:v>42327</c:v>
                </c:pt>
                <c:pt idx="220">
                  <c:v>42328</c:v>
                </c:pt>
                <c:pt idx="221">
                  <c:v>42331</c:v>
                </c:pt>
                <c:pt idx="222">
                  <c:v>42332</c:v>
                </c:pt>
                <c:pt idx="223">
                  <c:v>42333</c:v>
                </c:pt>
                <c:pt idx="224">
                  <c:v>42334</c:v>
                </c:pt>
                <c:pt idx="225">
                  <c:v>42335</c:v>
                </c:pt>
                <c:pt idx="226">
                  <c:v>42338</c:v>
                </c:pt>
                <c:pt idx="227">
                  <c:v>42339</c:v>
                </c:pt>
                <c:pt idx="228">
                  <c:v>42340</c:v>
                </c:pt>
                <c:pt idx="229">
                  <c:v>42341</c:v>
                </c:pt>
                <c:pt idx="230">
                  <c:v>42342</c:v>
                </c:pt>
                <c:pt idx="231">
                  <c:v>42345</c:v>
                </c:pt>
                <c:pt idx="232">
                  <c:v>42347</c:v>
                </c:pt>
                <c:pt idx="233">
                  <c:v>42348</c:v>
                </c:pt>
                <c:pt idx="234">
                  <c:v>42349</c:v>
                </c:pt>
                <c:pt idx="235">
                  <c:v>42352</c:v>
                </c:pt>
                <c:pt idx="236">
                  <c:v>42353</c:v>
                </c:pt>
                <c:pt idx="237">
                  <c:v>42354</c:v>
                </c:pt>
                <c:pt idx="238">
                  <c:v>42355</c:v>
                </c:pt>
                <c:pt idx="239">
                  <c:v>42356</c:v>
                </c:pt>
                <c:pt idx="240">
                  <c:v>42359</c:v>
                </c:pt>
                <c:pt idx="241">
                  <c:v>42360</c:v>
                </c:pt>
                <c:pt idx="242">
                  <c:v>42361</c:v>
                </c:pt>
                <c:pt idx="243">
                  <c:v>42362</c:v>
                </c:pt>
                <c:pt idx="244">
                  <c:v>42367</c:v>
                </c:pt>
                <c:pt idx="245">
                  <c:v>42368</c:v>
                </c:pt>
                <c:pt idx="246">
                  <c:v>42373</c:v>
                </c:pt>
                <c:pt idx="247">
                  <c:v>42374</c:v>
                </c:pt>
                <c:pt idx="248">
                  <c:v>42375</c:v>
                </c:pt>
                <c:pt idx="249">
                  <c:v>42376</c:v>
                </c:pt>
                <c:pt idx="250">
                  <c:v>42377</c:v>
                </c:pt>
                <c:pt idx="251">
                  <c:v>42380</c:v>
                </c:pt>
                <c:pt idx="252">
                  <c:v>42381</c:v>
                </c:pt>
                <c:pt idx="253">
                  <c:v>42382</c:v>
                </c:pt>
                <c:pt idx="254">
                  <c:v>42383</c:v>
                </c:pt>
                <c:pt idx="255">
                  <c:v>42384</c:v>
                </c:pt>
                <c:pt idx="256">
                  <c:v>42387</c:v>
                </c:pt>
                <c:pt idx="257">
                  <c:v>42388</c:v>
                </c:pt>
                <c:pt idx="258">
                  <c:v>42389</c:v>
                </c:pt>
                <c:pt idx="259">
                  <c:v>42390</c:v>
                </c:pt>
                <c:pt idx="260">
                  <c:v>42391</c:v>
                </c:pt>
                <c:pt idx="261">
                  <c:v>42394</c:v>
                </c:pt>
                <c:pt idx="262">
                  <c:v>42395</c:v>
                </c:pt>
                <c:pt idx="263">
                  <c:v>42396</c:v>
                </c:pt>
                <c:pt idx="264">
                  <c:v>42397</c:v>
                </c:pt>
                <c:pt idx="265">
                  <c:v>42398</c:v>
                </c:pt>
                <c:pt idx="266">
                  <c:v>42401</c:v>
                </c:pt>
                <c:pt idx="267">
                  <c:v>42402</c:v>
                </c:pt>
                <c:pt idx="268">
                  <c:v>42403</c:v>
                </c:pt>
                <c:pt idx="269">
                  <c:v>42404</c:v>
                </c:pt>
                <c:pt idx="270">
                  <c:v>42405</c:v>
                </c:pt>
                <c:pt idx="271">
                  <c:v>42408</c:v>
                </c:pt>
                <c:pt idx="272">
                  <c:v>42409</c:v>
                </c:pt>
                <c:pt idx="273">
                  <c:v>42410</c:v>
                </c:pt>
                <c:pt idx="274">
                  <c:v>42411</c:v>
                </c:pt>
                <c:pt idx="275">
                  <c:v>42412</c:v>
                </c:pt>
                <c:pt idx="276">
                  <c:v>42415</c:v>
                </c:pt>
                <c:pt idx="277">
                  <c:v>42416</c:v>
                </c:pt>
                <c:pt idx="278">
                  <c:v>42417</c:v>
                </c:pt>
                <c:pt idx="279">
                  <c:v>42418</c:v>
                </c:pt>
                <c:pt idx="280">
                  <c:v>42419</c:v>
                </c:pt>
                <c:pt idx="281">
                  <c:v>42422</c:v>
                </c:pt>
                <c:pt idx="282">
                  <c:v>42423</c:v>
                </c:pt>
                <c:pt idx="283">
                  <c:v>42424</c:v>
                </c:pt>
                <c:pt idx="284">
                  <c:v>42425</c:v>
                </c:pt>
                <c:pt idx="285">
                  <c:v>42426</c:v>
                </c:pt>
                <c:pt idx="286">
                  <c:v>42429</c:v>
                </c:pt>
                <c:pt idx="287">
                  <c:v>42430</c:v>
                </c:pt>
                <c:pt idx="288">
                  <c:v>42431</c:v>
                </c:pt>
                <c:pt idx="289">
                  <c:v>42432</c:v>
                </c:pt>
                <c:pt idx="290">
                  <c:v>42433</c:v>
                </c:pt>
                <c:pt idx="291">
                  <c:v>42436</c:v>
                </c:pt>
                <c:pt idx="292">
                  <c:v>42437</c:v>
                </c:pt>
                <c:pt idx="293">
                  <c:v>42438</c:v>
                </c:pt>
                <c:pt idx="294">
                  <c:v>42439</c:v>
                </c:pt>
                <c:pt idx="295">
                  <c:v>42440</c:v>
                </c:pt>
                <c:pt idx="296">
                  <c:v>42443</c:v>
                </c:pt>
                <c:pt idx="297">
                  <c:v>42444</c:v>
                </c:pt>
                <c:pt idx="298">
                  <c:v>42445</c:v>
                </c:pt>
                <c:pt idx="299">
                  <c:v>42446</c:v>
                </c:pt>
                <c:pt idx="300">
                  <c:v>42447</c:v>
                </c:pt>
                <c:pt idx="301">
                  <c:v>42450</c:v>
                </c:pt>
                <c:pt idx="302">
                  <c:v>42451</c:v>
                </c:pt>
                <c:pt idx="303">
                  <c:v>42452</c:v>
                </c:pt>
                <c:pt idx="304">
                  <c:v>42453</c:v>
                </c:pt>
                <c:pt idx="305">
                  <c:v>42458</c:v>
                </c:pt>
                <c:pt idx="306">
                  <c:v>42459</c:v>
                </c:pt>
                <c:pt idx="307">
                  <c:v>42460</c:v>
                </c:pt>
                <c:pt idx="308">
                  <c:v>42461</c:v>
                </c:pt>
                <c:pt idx="309">
                  <c:v>42464</c:v>
                </c:pt>
                <c:pt idx="310">
                  <c:v>42465</c:v>
                </c:pt>
                <c:pt idx="311">
                  <c:v>42466</c:v>
                </c:pt>
                <c:pt idx="312">
                  <c:v>42467</c:v>
                </c:pt>
                <c:pt idx="313">
                  <c:v>42468</c:v>
                </c:pt>
                <c:pt idx="314">
                  <c:v>42471</c:v>
                </c:pt>
                <c:pt idx="315">
                  <c:v>42472</c:v>
                </c:pt>
                <c:pt idx="316">
                  <c:v>42473</c:v>
                </c:pt>
                <c:pt idx="317">
                  <c:v>42474</c:v>
                </c:pt>
                <c:pt idx="318">
                  <c:v>42475</c:v>
                </c:pt>
                <c:pt idx="319">
                  <c:v>42478</c:v>
                </c:pt>
                <c:pt idx="320">
                  <c:v>42479</c:v>
                </c:pt>
                <c:pt idx="321">
                  <c:v>42480</c:v>
                </c:pt>
                <c:pt idx="322">
                  <c:v>42481</c:v>
                </c:pt>
                <c:pt idx="323">
                  <c:v>42482</c:v>
                </c:pt>
              </c:numCache>
            </c:numRef>
          </c:cat>
          <c:val>
            <c:numRef>
              <c:f>'Mismo día'!$D$4:$D$327</c:f>
              <c:numCache>
                <c:formatCode>General</c:formatCode>
                <c:ptCount val="324"/>
                <c:pt idx="0">
                  <c:v>286.17</c:v>
                </c:pt>
                <c:pt idx="1">
                  <c:v>281.95</c:v>
                </c:pt>
                <c:pt idx="2">
                  <c:v>280.82</c:v>
                </c:pt>
                <c:pt idx="3">
                  <c:v>279.87</c:v>
                </c:pt>
                <c:pt idx="4">
                  <c:v>282.61</c:v>
                </c:pt>
                <c:pt idx="5">
                  <c:v>279</c:v>
                </c:pt>
                <c:pt idx="6">
                  <c:v>278.10000000000002</c:v>
                </c:pt>
                <c:pt idx="7">
                  <c:v>268.3</c:v>
                </c:pt>
                <c:pt idx="8">
                  <c:v>255.24</c:v>
                </c:pt>
                <c:pt idx="9">
                  <c:v>259.41000000000003</c:v>
                </c:pt>
                <c:pt idx="10">
                  <c:v>256.73</c:v>
                </c:pt>
                <c:pt idx="11">
                  <c:v>257.23</c:v>
                </c:pt>
                <c:pt idx="12">
                  <c:v>261.29000000000002</c:v>
                </c:pt>
                <c:pt idx="13">
                  <c:v>255.4</c:v>
                </c:pt>
                <c:pt idx="14">
                  <c:v>260.45</c:v>
                </c:pt>
                <c:pt idx="15">
                  <c:v>253.15</c:v>
                </c:pt>
                <c:pt idx="16">
                  <c:v>249.02</c:v>
                </c:pt>
                <c:pt idx="17">
                  <c:v>252.06</c:v>
                </c:pt>
                <c:pt idx="18">
                  <c:v>248.82</c:v>
                </c:pt>
                <c:pt idx="19">
                  <c:v>244.51</c:v>
                </c:pt>
                <c:pt idx="20">
                  <c:v>249.7</c:v>
                </c:pt>
                <c:pt idx="21">
                  <c:v>251.09</c:v>
                </c:pt>
                <c:pt idx="22">
                  <c:v>258.32</c:v>
                </c:pt>
                <c:pt idx="23">
                  <c:v>258.91000000000003</c:v>
                </c:pt>
                <c:pt idx="24">
                  <c:v>253.79</c:v>
                </c:pt>
                <c:pt idx="25">
                  <c:v>258.18</c:v>
                </c:pt>
                <c:pt idx="26">
                  <c:v>257.01</c:v>
                </c:pt>
                <c:pt idx="27">
                  <c:v>253.6</c:v>
                </c:pt>
                <c:pt idx="28">
                  <c:v>256.08</c:v>
                </c:pt>
                <c:pt idx="29">
                  <c:v>258.32</c:v>
                </c:pt>
                <c:pt idx="30">
                  <c:v>259.95</c:v>
                </c:pt>
                <c:pt idx="31">
                  <c:v>259.08999999999992</c:v>
                </c:pt>
                <c:pt idx="32">
                  <c:v>256.98</c:v>
                </c:pt>
                <c:pt idx="33">
                  <c:v>258.08999999999992</c:v>
                </c:pt>
                <c:pt idx="34">
                  <c:v>259.45</c:v>
                </c:pt>
                <c:pt idx="35">
                  <c:v>258.87</c:v>
                </c:pt>
                <c:pt idx="36">
                  <c:v>256.60000000000002</c:v>
                </c:pt>
                <c:pt idx="37">
                  <c:v>259.23</c:v>
                </c:pt>
                <c:pt idx="38">
                  <c:v>263.31</c:v>
                </c:pt>
                <c:pt idx="39">
                  <c:v>269.23</c:v>
                </c:pt>
                <c:pt idx="40">
                  <c:v>266.74</c:v>
                </c:pt>
                <c:pt idx="41">
                  <c:v>267.44</c:v>
                </c:pt>
                <c:pt idx="42">
                  <c:v>265.58</c:v>
                </c:pt>
                <c:pt idx="43">
                  <c:v>266.8</c:v>
                </c:pt>
                <c:pt idx="44">
                  <c:v>265.62</c:v>
                </c:pt>
                <c:pt idx="45">
                  <c:v>264.29000000000002</c:v>
                </c:pt>
                <c:pt idx="46">
                  <c:v>263.08</c:v>
                </c:pt>
                <c:pt idx="47">
                  <c:v>262.33999999999992</c:v>
                </c:pt>
                <c:pt idx="48">
                  <c:v>262.45</c:v>
                </c:pt>
                <c:pt idx="49">
                  <c:v>266.05</c:v>
                </c:pt>
                <c:pt idx="50">
                  <c:v>265.81</c:v>
                </c:pt>
                <c:pt idx="51">
                  <c:v>265.49</c:v>
                </c:pt>
                <c:pt idx="52">
                  <c:v>261.5</c:v>
                </c:pt>
                <c:pt idx="53">
                  <c:v>258.20999999999992</c:v>
                </c:pt>
                <c:pt idx="54">
                  <c:v>264.67</c:v>
                </c:pt>
                <c:pt idx="55">
                  <c:v>268.52999999999992</c:v>
                </c:pt>
                <c:pt idx="56">
                  <c:v>276.39999999999992</c:v>
                </c:pt>
                <c:pt idx="57">
                  <c:v>277.95999999999992</c:v>
                </c:pt>
                <c:pt idx="58">
                  <c:v>278.26</c:v>
                </c:pt>
                <c:pt idx="59">
                  <c:v>282.58999999999992</c:v>
                </c:pt>
                <c:pt idx="60">
                  <c:v>278.77999999999992</c:v>
                </c:pt>
                <c:pt idx="61">
                  <c:v>277.14999999999998</c:v>
                </c:pt>
                <c:pt idx="62">
                  <c:v>274.45</c:v>
                </c:pt>
                <c:pt idx="63">
                  <c:v>273.04000000000002</c:v>
                </c:pt>
                <c:pt idx="64">
                  <c:v>272.22000000000003</c:v>
                </c:pt>
                <c:pt idx="65">
                  <c:v>274.02</c:v>
                </c:pt>
                <c:pt idx="66">
                  <c:v>274.64999999999998</c:v>
                </c:pt>
                <c:pt idx="67">
                  <c:v>274.42</c:v>
                </c:pt>
                <c:pt idx="68">
                  <c:v>274.64999999999998</c:v>
                </c:pt>
                <c:pt idx="69">
                  <c:v>272.68</c:v>
                </c:pt>
                <c:pt idx="70">
                  <c:v>268.37</c:v>
                </c:pt>
                <c:pt idx="71">
                  <c:v>268.55</c:v>
                </c:pt>
                <c:pt idx="72">
                  <c:v>274.60000000000002</c:v>
                </c:pt>
                <c:pt idx="73">
                  <c:v>275.83</c:v>
                </c:pt>
                <c:pt idx="74">
                  <c:v>272.25</c:v>
                </c:pt>
                <c:pt idx="75">
                  <c:v>271.02</c:v>
                </c:pt>
                <c:pt idx="76">
                  <c:v>268.83999999999992</c:v>
                </c:pt>
                <c:pt idx="77">
                  <c:v>269.20999999999992</c:v>
                </c:pt>
                <c:pt idx="78">
                  <c:v>273.31</c:v>
                </c:pt>
                <c:pt idx="79">
                  <c:v>274.92</c:v>
                </c:pt>
                <c:pt idx="80">
                  <c:v>276.26</c:v>
                </c:pt>
                <c:pt idx="81">
                  <c:v>276.83</c:v>
                </c:pt>
                <c:pt idx="82">
                  <c:v>283.27</c:v>
                </c:pt>
                <c:pt idx="83">
                  <c:v>288.58</c:v>
                </c:pt>
                <c:pt idx="84">
                  <c:v>290.75</c:v>
                </c:pt>
                <c:pt idx="85">
                  <c:v>290.32</c:v>
                </c:pt>
                <c:pt idx="86">
                  <c:v>291.98</c:v>
                </c:pt>
                <c:pt idx="87">
                  <c:v>290.14</c:v>
                </c:pt>
                <c:pt idx="88">
                  <c:v>288.62</c:v>
                </c:pt>
                <c:pt idx="89">
                  <c:v>292.48</c:v>
                </c:pt>
                <c:pt idx="90">
                  <c:v>291.02</c:v>
                </c:pt>
                <c:pt idx="91">
                  <c:v>290.25</c:v>
                </c:pt>
                <c:pt idx="92">
                  <c:v>288.3</c:v>
                </c:pt>
                <c:pt idx="93">
                  <c:v>289.52999999999992</c:v>
                </c:pt>
                <c:pt idx="94">
                  <c:v>284.39999999999992</c:v>
                </c:pt>
                <c:pt idx="95">
                  <c:v>281.58999999999992</c:v>
                </c:pt>
                <c:pt idx="96">
                  <c:v>281.11</c:v>
                </c:pt>
                <c:pt idx="97">
                  <c:v>278.26</c:v>
                </c:pt>
                <c:pt idx="98">
                  <c:v>276.01</c:v>
                </c:pt>
                <c:pt idx="99">
                  <c:v>277.45999999999992</c:v>
                </c:pt>
                <c:pt idx="100">
                  <c:v>276.17</c:v>
                </c:pt>
                <c:pt idx="101">
                  <c:v>270.82</c:v>
                </c:pt>
                <c:pt idx="102">
                  <c:v>272.08999999999992</c:v>
                </c:pt>
                <c:pt idx="103">
                  <c:v>271.79000000000002</c:v>
                </c:pt>
                <c:pt idx="104">
                  <c:v>270.07</c:v>
                </c:pt>
                <c:pt idx="105">
                  <c:v>268.73</c:v>
                </c:pt>
                <c:pt idx="106">
                  <c:v>268.3</c:v>
                </c:pt>
                <c:pt idx="107">
                  <c:v>271.66000000000008</c:v>
                </c:pt>
                <c:pt idx="108">
                  <c:v>274.22000000000003</c:v>
                </c:pt>
                <c:pt idx="109">
                  <c:v>267.89</c:v>
                </c:pt>
                <c:pt idx="110">
                  <c:v>267.10000000000002</c:v>
                </c:pt>
                <c:pt idx="111">
                  <c:v>261.29000000000002</c:v>
                </c:pt>
                <c:pt idx="112">
                  <c:v>260.91000000000003</c:v>
                </c:pt>
                <c:pt idx="113">
                  <c:v>260.77</c:v>
                </c:pt>
                <c:pt idx="114">
                  <c:v>261.31</c:v>
                </c:pt>
                <c:pt idx="115">
                  <c:v>256.87</c:v>
                </c:pt>
                <c:pt idx="116">
                  <c:v>256.10000000000002</c:v>
                </c:pt>
                <c:pt idx="117">
                  <c:v>259.68</c:v>
                </c:pt>
                <c:pt idx="118">
                  <c:v>261.5</c:v>
                </c:pt>
                <c:pt idx="119">
                  <c:v>259.25</c:v>
                </c:pt>
                <c:pt idx="120">
                  <c:v>259.95</c:v>
                </c:pt>
                <c:pt idx="121">
                  <c:v>259.5</c:v>
                </c:pt>
                <c:pt idx="122">
                  <c:v>261.07</c:v>
                </c:pt>
                <c:pt idx="123">
                  <c:v>261.31</c:v>
                </c:pt>
                <c:pt idx="124">
                  <c:v>261.33999999999992</c:v>
                </c:pt>
                <c:pt idx="125">
                  <c:v>252.65</c:v>
                </c:pt>
                <c:pt idx="126">
                  <c:v>246.78</c:v>
                </c:pt>
                <c:pt idx="127">
                  <c:v>243.81</c:v>
                </c:pt>
                <c:pt idx="128">
                  <c:v>252.92</c:v>
                </c:pt>
                <c:pt idx="129">
                  <c:v>252.27</c:v>
                </c:pt>
                <c:pt idx="130">
                  <c:v>254.26</c:v>
                </c:pt>
                <c:pt idx="131">
                  <c:v>249.59</c:v>
                </c:pt>
                <c:pt idx="132">
                  <c:v>253.88</c:v>
                </c:pt>
                <c:pt idx="133">
                  <c:v>247.89</c:v>
                </c:pt>
                <c:pt idx="134">
                  <c:v>246.07</c:v>
                </c:pt>
                <c:pt idx="135">
                  <c:v>248.36</c:v>
                </c:pt>
                <c:pt idx="136">
                  <c:v>242.69</c:v>
                </c:pt>
                <c:pt idx="137">
                  <c:v>242.22</c:v>
                </c:pt>
                <c:pt idx="138">
                  <c:v>236.98</c:v>
                </c:pt>
                <c:pt idx="139">
                  <c:v>235.41</c:v>
                </c:pt>
                <c:pt idx="140">
                  <c:v>237.66</c:v>
                </c:pt>
                <c:pt idx="141">
                  <c:v>240.49</c:v>
                </c:pt>
                <c:pt idx="142">
                  <c:v>237.73</c:v>
                </c:pt>
                <c:pt idx="143">
                  <c:v>236.78</c:v>
                </c:pt>
                <c:pt idx="144">
                  <c:v>234.8</c:v>
                </c:pt>
                <c:pt idx="145">
                  <c:v>236.57</c:v>
                </c:pt>
                <c:pt idx="146">
                  <c:v>234.58</c:v>
                </c:pt>
                <c:pt idx="147">
                  <c:v>234.28</c:v>
                </c:pt>
                <c:pt idx="148">
                  <c:v>232.94</c:v>
                </c:pt>
                <c:pt idx="149">
                  <c:v>233.6</c:v>
                </c:pt>
                <c:pt idx="150">
                  <c:v>233.15</c:v>
                </c:pt>
                <c:pt idx="151">
                  <c:v>231.47</c:v>
                </c:pt>
                <c:pt idx="152">
                  <c:v>233.51</c:v>
                </c:pt>
                <c:pt idx="153">
                  <c:v>233.87</c:v>
                </c:pt>
                <c:pt idx="154">
                  <c:v>231.38</c:v>
                </c:pt>
                <c:pt idx="155">
                  <c:v>226.82</c:v>
                </c:pt>
                <c:pt idx="156">
                  <c:v>227.09</c:v>
                </c:pt>
                <c:pt idx="157">
                  <c:v>229.54</c:v>
                </c:pt>
                <c:pt idx="158">
                  <c:v>228.88</c:v>
                </c:pt>
                <c:pt idx="159">
                  <c:v>221.72</c:v>
                </c:pt>
                <c:pt idx="160">
                  <c:v>228.25</c:v>
                </c:pt>
                <c:pt idx="161">
                  <c:v>224.94</c:v>
                </c:pt>
                <c:pt idx="162">
                  <c:v>228.11</c:v>
                </c:pt>
                <c:pt idx="163">
                  <c:v>231.11</c:v>
                </c:pt>
                <c:pt idx="164">
                  <c:v>231.11</c:v>
                </c:pt>
                <c:pt idx="165">
                  <c:v>230.9</c:v>
                </c:pt>
                <c:pt idx="166">
                  <c:v>238.14</c:v>
                </c:pt>
                <c:pt idx="167">
                  <c:v>233.85</c:v>
                </c:pt>
                <c:pt idx="168">
                  <c:v>234.78</c:v>
                </c:pt>
                <c:pt idx="169">
                  <c:v>239.5</c:v>
                </c:pt>
                <c:pt idx="170">
                  <c:v>243.4</c:v>
                </c:pt>
                <c:pt idx="171">
                  <c:v>244.94</c:v>
                </c:pt>
                <c:pt idx="172">
                  <c:v>242.76</c:v>
                </c:pt>
                <c:pt idx="173">
                  <c:v>241.49</c:v>
                </c:pt>
                <c:pt idx="174">
                  <c:v>239.95</c:v>
                </c:pt>
                <c:pt idx="175">
                  <c:v>242.67</c:v>
                </c:pt>
                <c:pt idx="176">
                  <c:v>243.53</c:v>
                </c:pt>
                <c:pt idx="177">
                  <c:v>238.91</c:v>
                </c:pt>
                <c:pt idx="178">
                  <c:v>232.74</c:v>
                </c:pt>
                <c:pt idx="179">
                  <c:v>231.88</c:v>
                </c:pt>
                <c:pt idx="180">
                  <c:v>228.88</c:v>
                </c:pt>
                <c:pt idx="181">
                  <c:v>231.24</c:v>
                </c:pt>
                <c:pt idx="182">
                  <c:v>225.21</c:v>
                </c:pt>
                <c:pt idx="183">
                  <c:v>227.25</c:v>
                </c:pt>
                <c:pt idx="184">
                  <c:v>231.01</c:v>
                </c:pt>
                <c:pt idx="185">
                  <c:v>234.87</c:v>
                </c:pt>
                <c:pt idx="186">
                  <c:v>230.47</c:v>
                </c:pt>
                <c:pt idx="187">
                  <c:v>233.35</c:v>
                </c:pt>
                <c:pt idx="188">
                  <c:v>234.73</c:v>
                </c:pt>
                <c:pt idx="189">
                  <c:v>237.73</c:v>
                </c:pt>
                <c:pt idx="190">
                  <c:v>234.05</c:v>
                </c:pt>
                <c:pt idx="191">
                  <c:v>241.27</c:v>
                </c:pt>
                <c:pt idx="192">
                  <c:v>238.61</c:v>
                </c:pt>
                <c:pt idx="193">
                  <c:v>239.41</c:v>
                </c:pt>
                <c:pt idx="194">
                  <c:v>242.4</c:v>
                </c:pt>
                <c:pt idx="195">
                  <c:v>239.04</c:v>
                </c:pt>
                <c:pt idx="196">
                  <c:v>237.68</c:v>
                </c:pt>
                <c:pt idx="197">
                  <c:v>235.37</c:v>
                </c:pt>
                <c:pt idx="198">
                  <c:v>235.21</c:v>
                </c:pt>
                <c:pt idx="199">
                  <c:v>239.22</c:v>
                </c:pt>
                <c:pt idx="200">
                  <c:v>240.18</c:v>
                </c:pt>
                <c:pt idx="201">
                  <c:v>237.36</c:v>
                </c:pt>
                <c:pt idx="202">
                  <c:v>236.75</c:v>
                </c:pt>
                <c:pt idx="203">
                  <c:v>234.92</c:v>
                </c:pt>
                <c:pt idx="204">
                  <c:v>234.1</c:v>
                </c:pt>
                <c:pt idx="205">
                  <c:v>232.94</c:v>
                </c:pt>
                <c:pt idx="206">
                  <c:v>233.03</c:v>
                </c:pt>
                <c:pt idx="207">
                  <c:v>233.55</c:v>
                </c:pt>
                <c:pt idx="208">
                  <c:v>234.3</c:v>
                </c:pt>
                <c:pt idx="209">
                  <c:v>229.2</c:v>
                </c:pt>
                <c:pt idx="210">
                  <c:v>226.8</c:v>
                </c:pt>
                <c:pt idx="211">
                  <c:v>226.34</c:v>
                </c:pt>
                <c:pt idx="212">
                  <c:v>223.78</c:v>
                </c:pt>
                <c:pt idx="213">
                  <c:v>223.67</c:v>
                </c:pt>
                <c:pt idx="214">
                  <c:v>221.01</c:v>
                </c:pt>
                <c:pt idx="215">
                  <c:v>218.86</c:v>
                </c:pt>
                <c:pt idx="216">
                  <c:v>216.14</c:v>
                </c:pt>
                <c:pt idx="217">
                  <c:v>213.19</c:v>
                </c:pt>
                <c:pt idx="218">
                  <c:v>211.78</c:v>
                </c:pt>
                <c:pt idx="219">
                  <c:v>209.11</c:v>
                </c:pt>
                <c:pt idx="220">
                  <c:v>212.73</c:v>
                </c:pt>
                <c:pt idx="221">
                  <c:v>204.82</c:v>
                </c:pt>
                <c:pt idx="222">
                  <c:v>205.34</c:v>
                </c:pt>
                <c:pt idx="223">
                  <c:v>205.98</c:v>
                </c:pt>
                <c:pt idx="224">
                  <c:v>211.69</c:v>
                </c:pt>
                <c:pt idx="225">
                  <c:v>210.29</c:v>
                </c:pt>
                <c:pt idx="226">
                  <c:v>208.45</c:v>
                </c:pt>
                <c:pt idx="227">
                  <c:v>209.51</c:v>
                </c:pt>
                <c:pt idx="228">
                  <c:v>208.15</c:v>
                </c:pt>
                <c:pt idx="229">
                  <c:v>205.25</c:v>
                </c:pt>
                <c:pt idx="230">
                  <c:v>210.33</c:v>
                </c:pt>
                <c:pt idx="231">
                  <c:v>208.31</c:v>
                </c:pt>
                <c:pt idx="232">
                  <c:v>209.56</c:v>
                </c:pt>
                <c:pt idx="233">
                  <c:v>207.38</c:v>
                </c:pt>
                <c:pt idx="234">
                  <c:v>211.69</c:v>
                </c:pt>
                <c:pt idx="235">
                  <c:v>210.47</c:v>
                </c:pt>
                <c:pt idx="236">
                  <c:v>208.02</c:v>
                </c:pt>
                <c:pt idx="237">
                  <c:v>207.88</c:v>
                </c:pt>
                <c:pt idx="238">
                  <c:v>206.38</c:v>
                </c:pt>
                <c:pt idx="239">
                  <c:v>210.92</c:v>
                </c:pt>
                <c:pt idx="240">
                  <c:v>212.78</c:v>
                </c:pt>
                <c:pt idx="241">
                  <c:v>211.94</c:v>
                </c:pt>
                <c:pt idx="242">
                  <c:v>212.28</c:v>
                </c:pt>
                <c:pt idx="243">
                  <c:v>211.62</c:v>
                </c:pt>
                <c:pt idx="244">
                  <c:v>212.51</c:v>
                </c:pt>
                <c:pt idx="245">
                  <c:v>213.87</c:v>
                </c:pt>
                <c:pt idx="246">
                  <c:v>210.69</c:v>
                </c:pt>
                <c:pt idx="247">
                  <c:v>210.78</c:v>
                </c:pt>
                <c:pt idx="248">
                  <c:v>208.65</c:v>
                </c:pt>
                <c:pt idx="249">
                  <c:v>204.75</c:v>
                </c:pt>
                <c:pt idx="250">
                  <c:v>203.5</c:v>
                </c:pt>
                <c:pt idx="251">
                  <c:v>199.69</c:v>
                </c:pt>
                <c:pt idx="252">
                  <c:v>197.54</c:v>
                </c:pt>
                <c:pt idx="253">
                  <c:v>198.67</c:v>
                </c:pt>
                <c:pt idx="254">
                  <c:v>198.02</c:v>
                </c:pt>
                <c:pt idx="255">
                  <c:v>195.52</c:v>
                </c:pt>
                <c:pt idx="256">
                  <c:v>197.77</c:v>
                </c:pt>
                <c:pt idx="257">
                  <c:v>201.42</c:v>
                </c:pt>
                <c:pt idx="258">
                  <c:v>197.18</c:v>
                </c:pt>
                <c:pt idx="259">
                  <c:v>198.49</c:v>
                </c:pt>
                <c:pt idx="260">
                  <c:v>202.67</c:v>
                </c:pt>
                <c:pt idx="261">
                  <c:v>202.03</c:v>
                </c:pt>
                <c:pt idx="262">
                  <c:v>204.16</c:v>
                </c:pt>
                <c:pt idx="263">
                  <c:v>204.46</c:v>
                </c:pt>
                <c:pt idx="264">
                  <c:v>206.54</c:v>
                </c:pt>
                <c:pt idx="265">
                  <c:v>206</c:v>
                </c:pt>
                <c:pt idx="266">
                  <c:v>205.66</c:v>
                </c:pt>
                <c:pt idx="267">
                  <c:v>208.9</c:v>
                </c:pt>
                <c:pt idx="268">
                  <c:v>207.68</c:v>
                </c:pt>
                <c:pt idx="269">
                  <c:v>212.51</c:v>
                </c:pt>
                <c:pt idx="270">
                  <c:v>211.78</c:v>
                </c:pt>
                <c:pt idx="271">
                  <c:v>207.41</c:v>
                </c:pt>
                <c:pt idx="272">
                  <c:v>205.5</c:v>
                </c:pt>
                <c:pt idx="273">
                  <c:v>204.43</c:v>
                </c:pt>
                <c:pt idx="274">
                  <c:v>202.94</c:v>
                </c:pt>
                <c:pt idx="275">
                  <c:v>203.59</c:v>
                </c:pt>
                <c:pt idx="276">
                  <c:v>206.93</c:v>
                </c:pt>
                <c:pt idx="277">
                  <c:v>207.9</c:v>
                </c:pt>
                <c:pt idx="278">
                  <c:v>206.93</c:v>
                </c:pt>
                <c:pt idx="279">
                  <c:v>207.61</c:v>
                </c:pt>
                <c:pt idx="280">
                  <c:v>208.2</c:v>
                </c:pt>
                <c:pt idx="281">
                  <c:v>213.01</c:v>
                </c:pt>
                <c:pt idx="282">
                  <c:v>211.53</c:v>
                </c:pt>
                <c:pt idx="283">
                  <c:v>207.99</c:v>
                </c:pt>
                <c:pt idx="284">
                  <c:v>211.15</c:v>
                </c:pt>
                <c:pt idx="285">
                  <c:v>212.33</c:v>
                </c:pt>
                <c:pt idx="286">
                  <c:v>213.42</c:v>
                </c:pt>
                <c:pt idx="287">
                  <c:v>214.37</c:v>
                </c:pt>
                <c:pt idx="288">
                  <c:v>216.82</c:v>
                </c:pt>
                <c:pt idx="289">
                  <c:v>219.09</c:v>
                </c:pt>
                <c:pt idx="290">
                  <c:v>223.08</c:v>
                </c:pt>
                <c:pt idx="291">
                  <c:v>226.8</c:v>
                </c:pt>
                <c:pt idx="292">
                  <c:v>225.91</c:v>
                </c:pt>
                <c:pt idx="293">
                  <c:v>223.87</c:v>
                </c:pt>
                <c:pt idx="294">
                  <c:v>223.19</c:v>
                </c:pt>
                <c:pt idx="295">
                  <c:v>224.12</c:v>
                </c:pt>
                <c:pt idx="296">
                  <c:v>226.52</c:v>
                </c:pt>
                <c:pt idx="297">
                  <c:v>223.17</c:v>
                </c:pt>
                <c:pt idx="298">
                  <c:v>224.3</c:v>
                </c:pt>
                <c:pt idx="299">
                  <c:v>228.11</c:v>
                </c:pt>
                <c:pt idx="300">
                  <c:v>231.47</c:v>
                </c:pt>
                <c:pt idx="301">
                  <c:v>230.4</c:v>
                </c:pt>
                <c:pt idx="302">
                  <c:v>229.97</c:v>
                </c:pt>
                <c:pt idx="303">
                  <c:v>229.54</c:v>
                </c:pt>
                <c:pt idx="304">
                  <c:v>223.67</c:v>
                </c:pt>
                <c:pt idx="305">
                  <c:v>224.05</c:v>
                </c:pt>
                <c:pt idx="306">
                  <c:v>224.07</c:v>
                </c:pt>
                <c:pt idx="307">
                  <c:v>220.24</c:v>
                </c:pt>
                <c:pt idx="308">
                  <c:v>221.35</c:v>
                </c:pt>
                <c:pt idx="309">
                  <c:v>218.45</c:v>
                </c:pt>
                <c:pt idx="310">
                  <c:v>216.64</c:v>
                </c:pt>
                <c:pt idx="311">
                  <c:v>216.59</c:v>
                </c:pt>
                <c:pt idx="312">
                  <c:v>213.87</c:v>
                </c:pt>
                <c:pt idx="313">
                  <c:v>211.1</c:v>
                </c:pt>
                <c:pt idx="314">
                  <c:v>210.69</c:v>
                </c:pt>
                <c:pt idx="315">
                  <c:v>213.89</c:v>
                </c:pt>
                <c:pt idx="316">
                  <c:v>219.45</c:v>
                </c:pt>
                <c:pt idx="317">
                  <c:v>219.11</c:v>
                </c:pt>
                <c:pt idx="318">
                  <c:v>218.34</c:v>
                </c:pt>
                <c:pt idx="319">
                  <c:v>217.63</c:v>
                </c:pt>
                <c:pt idx="320">
                  <c:v>218.27</c:v>
                </c:pt>
                <c:pt idx="321">
                  <c:v>224.01</c:v>
                </c:pt>
                <c:pt idx="322">
                  <c:v>227.95</c:v>
                </c:pt>
                <c:pt idx="323">
                  <c:v>227.5</c:v>
                </c:pt>
              </c:numCache>
            </c:numRef>
          </c:val>
          <c:smooth val="0"/>
        </c:ser>
        <c:dLbls>
          <c:showLegendKey val="0"/>
          <c:showVal val="0"/>
          <c:showCatName val="0"/>
          <c:showSerName val="0"/>
          <c:showPercent val="0"/>
          <c:showBubbleSize val="0"/>
        </c:dLbls>
        <c:marker val="1"/>
        <c:smooth val="0"/>
        <c:axId val="918350880"/>
        <c:axId val="918350320"/>
      </c:lineChart>
      <c:dateAx>
        <c:axId val="918349200"/>
        <c:scaling>
          <c:orientation val="minMax"/>
        </c:scaling>
        <c:delete val="0"/>
        <c:axPos val="b"/>
        <c:numFmt formatCode="mm\.dd\.yyyy" sourceLinked="1"/>
        <c:majorTickMark val="out"/>
        <c:minorTickMark val="none"/>
        <c:tickLblPos val="nextTo"/>
        <c:txPr>
          <a:bodyPr/>
          <a:lstStyle/>
          <a:p>
            <a:pPr>
              <a:defRPr sz="1100"/>
            </a:pPr>
            <a:endParaRPr lang="es-CL"/>
          </a:p>
        </c:txPr>
        <c:crossAx val="918349760"/>
        <c:crosses val="autoZero"/>
        <c:auto val="1"/>
        <c:lblOffset val="100"/>
        <c:baseTimeUnit val="days"/>
      </c:dateAx>
      <c:valAx>
        <c:axId val="918349760"/>
        <c:scaling>
          <c:orientation val="minMax"/>
          <c:min val="520"/>
        </c:scaling>
        <c:delete val="0"/>
        <c:axPos val="l"/>
        <c:majorGridlines/>
        <c:numFmt formatCode="#,##0" sourceLinked="1"/>
        <c:majorTickMark val="out"/>
        <c:minorTickMark val="none"/>
        <c:tickLblPos val="nextTo"/>
        <c:txPr>
          <a:bodyPr/>
          <a:lstStyle/>
          <a:p>
            <a:pPr>
              <a:defRPr sz="1100"/>
            </a:pPr>
            <a:endParaRPr lang="es-CL"/>
          </a:p>
        </c:txPr>
        <c:crossAx val="918349200"/>
        <c:crosses val="autoZero"/>
        <c:crossBetween val="between"/>
      </c:valAx>
      <c:valAx>
        <c:axId val="918350320"/>
        <c:scaling>
          <c:orientation val="minMax"/>
          <c:min val="150"/>
        </c:scaling>
        <c:delete val="0"/>
        <c:axPos val="r"/>
        <c:numFmt formatCode="General" sourceLinked="1"/>
        <c:majorTickMark val="out"/>
        <c:minorTickMark val="none"/>
        <c:tickLblPos val="nextTo"/>
        <c:txPr>
          <a:bodyPr/>
          <a:lstStyle/>
          <a:p>
            <a:pPr>
              <a:defRPr sz="1100"/>
            </a:pPr>
            <a:endParaRPr lang="es-CL"/>
          </a:p>
        </c:txPr>
        <c:crossAx val="918350880"/>
        <c:crosses val="max"/>
        <c:crossBetween val="between"/>
      </c:valAx>
      <c:dateAx>
        <c:axId val="918350880"/>
        <c:scaling>
          <c:orientation val="minMax"/>
        </c:scaling>
        <c:delete val="1"/>
        <c:axPos val="b"/>
        <c:numFmt formatCode="mm\.dd\.yyyy" sourceLinked="1"/>
        <c:majorTickMark val="out"/>
        <c:minorTickMark val="none"/>
        <c:tickLblPos val="nextTo"/>
        <c:crossAx val="918350320"/>
        <c:crosses val="autoZero"/>
        <c:auto val="1"/>
        <c:lblOffset val="100"/>
        <c:baseTimeUnit val="days"/>
      </c:dateAx>
    </c:plotArea>
    <c:legend>
      <c:legendPos val="r"/>
      <c:layout>
        <c:manualLayout>
          <c:xMode val="edge"/>
          <c:yMode val="edge"/>
          <c:x val="0.100642586066093"/>
          <c:y val="0.91178141193889195"/>
          <c:w val="0.78843117987955302"/>
          <c:h val="8.8218588061107703E-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0.28571</cdr:x>
      <cdr:y>0.076</cdr:y>
    </cdr:from>
    <cdr:to>
      <cdr:x>0.34874</cdr:x>
      <cdr:y>0.1668</cdr:y>
    </cdr:to>
    <cdr:sp macro="" textlink="">
      <cdr:nvSpPr>
        <cdr:cNvPr id="2" name="CuadroTexto 32"/>
        <cdr:cNvSpPr txBox="1"/>
      </cdr:nvSpPr>
      <cdr:spPr>
        <a:xfrm xmlns:a="http://schemas.openxmlformats.org/drawingml/2006/main">
          <a:off x="1943100" y="234544"/>
          <a:ext cx="428625" cy="280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L" sz="1200" b="1"/>
            <a:t>745</a:t>
          </a:r>
        </a:p>
      </cdr:txBody>
    </cdr:sp>
  </cdr:relSizeAnchor>
  <cdr:relSizeAnchor xmlns:cdr="http://schemas.openxmlformats.org/drawingml/2006/chartDrawing">
    <cdr:from>
      <cdr:x>0.81457</cdr:x>
      <cdr:y>0.4575</cdr:y>
    </cdr:from>
    <cdr:to>
      <cdr:x>0.89902</cdr:x>
      <cdr:y>0.54321</cdr:y>
    </cdr:to>
    <cdr:sp macro="" textlink="">
      <cdr:nvSpPr>
        <cdr:cNvPr id="3" name="CuadroTexto 32"/>
        <cdr:cNvSpPr txBox="1"/>
      </cdr:nvSpPr>
      <cdr:spPr>
        <a:xfrm xmlns:a="http://schemas.openxmlformats.org/drawingml/2006/main">
          <a:off x="5539753" y="1411895"/>
          <a:ext cx="574332" cy="2645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L" sz="1200" b="1"/>
            <a:t>472</a:t>
          </a:r>
        </a:p>
      </cdr:txBody>
    </cdr:sp>
  </cdr:relSizeAnchor>
  <cdr:relSizeAnchor xmlns:cdr="http://schemas.openxmlformats.org/drawingml/2006/chartDrawing">
    <cdr:from>
      <cdr:x>0.5639</cdr:x>
      <cdr:y>0.09583</cdr:y>
    </cdr:from>
    <cdr:to>
      <cdr:x>0.64139</cdr:x>
      <cdr:y>0.16109</cdr:y>
    </cdr:to>
    <cdr:sp macro="" textlink="">
      <cdr:nvSpPr>
        <cdr:cNvPr id="4" name="CuadroTexto 32"/>
        <cdr:cNvSpPr txBox="1"/>
      </cdr:nvSpPr>
      <cdr:spPr>
        <a:xfrm xmlns:a="http://schemas.openxmlformats.org/drawingml/2006/main">
          <a:off x="3164677" y="259586"/>
          <a:ext cx="434884" cy="17678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L" sz="1200" b="1"/>
            <a:t>652</a:t>
          </a:r>
        </a:p>
      </cdr:txBody>
    </cdr:sp>
  </cdr:relSizeAnchor>
  <cdr:relSizeAnchor xmlns:cdr="http://schemas.openxmlformats.org/drawingml/2006/chartDrawing">
    <cdr:from>
      <cdr:x>0.53276</cdr:x>
      <cdr:y>0.48148</cdr:y>
    </cdr:from>
    <cdr:to>
      <cdr:x>0.59664</cdr:x>
      <cdr:y>0.59259</cdr:y>
    </cdr:to>
    <cdr:sp macro="" textlink="">
      <cdr:nvSpPr>
        <cdr:cNvPr id="5" name="CuadroTexto 32"/>
        <cdr:cNvSpPr txBox="1"/>
      </cdr:nvSpPr>
      <cdr:spPr>
        <a:xfrm xmlns:a="http://schemas.openxmlformats.org/drawingml/2006/main">
          <a:off x="3623220" y="1485901"/>
          <a:ext cx="434430" cy="34289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L" sz="1200" b="1"/>
            <a:t>443</a:t>
          </a:r>
        </a:p>
      </cdr:txBody>
    </cdr:sp>
  </cdr:relSizeAnchor>
  <cdr:relSizeAnchor xmlns:cdr="http://schemas.openxmlformats.org/drawingml/2006/chartDrawing">
    <cdr:from>
      <cdr:x>0.91552</cdr:x>
      <cdr:y>0.19006</cdr:y>
    </cdr:from>
    <cdr:to>
      <cdr:x>0.97707</cdr:x>
      <cdr:y>0.28086</cdr:y>
    </cdr:to>
    <cdr:sp macro="" textlink="">
      <cdr:nvSpPr>
        <cdr:cNvPr id="8" name="CuadroTexto 32"/>
        <cdr:cNvSpPr txBox="1"/>
      </cdr:nvSpPr>
      <cdr:spPr>
        <a:xfrm xmlns:a="http://schemas.openxmlformats.org/drawingml/2006/main">
          <a:off x="6226314" y="586544"/>
          <a:ext cx="418576" cy="2802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L" sz="1200" b="1">
              <a:solidFill>
                <a:srgbClr val="FF0000"/>
              </a:solidFill>
            </a:rPr>
            <a:t>704</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86271-FECA-4761-AF20-4F5B0EB9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11522</Words>
  <Characters>63377</Characters>
  <Application>Microsoft Office Word</Application>
  <DocSecurity>0</DocSecurity>
  <Lines>528</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2</cp:revision>
  <cp:lastPrinted>2017-06-20T14:35:00Z</cp:lastPrinted>
  <dcterms:created xsi:type="dcterms:W3CDTF">2019-01-02T18:00:00Z</dcterms:created>
  <dcterms:modified xsi:type="dcterms:W3CDTF">2019-01-02T18:00:00Z</dcterms:modified>
</cp:coreProperties>
</file>